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8"/>
      </w:tblGrid>
      <w:tr w:rsidR="00670C6C" w:rsidRPr="00257660" w:rsidTr="008E5024">
        <w:trPr>
          <w:jc w:val="center"/>
        </w:trPr>
        <w:tc>
          <w:tcPr>
            <w:tcW w:w="7087" w:type="dxa"/>
          </w:tcPr>
          <w:p w:rsidR="00670C6C" w:rsidRPr="00257660" w:rsidRDefault="00670C6C" w:rsidP="008E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Cs/>
                <w:szCs w:val="24"/>
              </w:rPr>
            </w:pPr>
            <w:bookmarkStart w:id="0" w:name="_GoBack"/>
            <w:bookmarkEnd w:id="0"/>
            <w:r w:rsidRPr="00257660">
              <w:rPr>
                <w:rFonts w:ascii="Cambria" w:eastAsia="Calibri" w:hAnsi="Cambria"/>
                <w:b/>
                <w:bCs/>
                <w:szCs w:val="24"/>
              </w:rPr>
              <w:t xml:space="preserve">Dátum: </w:t>
            </w:r>
          </w:p>
        </w:tc>
        <w:tc>
          <w:tcPr>
            <w:tcW w:w="7088" w:type="dxa"/>
          </w:tcPr>
          <w:p w:rsidR="00670C6C" w:rsidRPr="00257660" w:rsidRDefault="0004345E" w:rsidP="008E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Cs/>
                <w:szCs w:val="24"/>
              </w:rPr>
            </w:pPr>
            <w:r>
              <w:rPr>
                <w:rFonts w:ascii="Cambria" w:eastAsia="Calibri" w:hAnsi="Cambria"/>
                <w:b/>
                <w:bCs/>
                <w:szCs w:val="24"/>
              </w:rPr>
              <w:t>Tanár</w:t>
            </w:r>
            <w:r w:rsidR="00670C6C" w:rsidRPr="00257660">
              <w:rPr>
                <w:rFonts w:ascii="Cambria" w:eastAsia="Calibri" w:hAnsi="Cambria"/>
                <w:b/>
                <w:bCs/>
                <w:szCs w:val="24"/>
              </w:rPr>
              <w:t xml:space="preserve">: </w:t>
            </w:r>
            <w:proofErr w:type="spellStart"/>
            <w:r w:rsidR="00670C6C">
              <w:rPr>
                <w:rFonts w:ascii="Cambria" w:eastAsia="Calibri" w:hAnsi="Cambria"/>
                <w:bCs/>
                <w:szCs w:val="24"/>
              </w:rPr>
              <w:t>Fenyvesy-Vasadi</w:t>
            </w:r>
            <w:proofErr w:type="spellEnd"/>
            <w:r w:rsidR="00670C6C">
              <w:rPr>
                <w:rFonts w:ascii="Cambria" w:eastAsia="Calibri" w:hAnsi="Cambria"/>
                <w:bCs/>
                <w:szCs w:val="24"/>
              </w:rPr>
              <w:t xml:space="preserve"> Zsanett</w:t>
            </w:r>
          </w:p>
        </w:tc>
      </w:tr>
      <w:tr w:rsidR="00670C6C" w:rsidRPr="00257660" w:rsidTr="008E5024">
        <w:trPr>
          <w:trHeight w:val="153"/>
          <w:jc w:val="center"/>
        </w:trPr>
        <w:tc>
          <w:tcPr>
            <w:tcW w:w="7087" w:type="dxa"/>
          </w:tcPr>
          <w:p w:rsidR="00670C6C" w:rsidRPr="00257660" w:rsidRDefault="00670C6C" w:rsidP="0004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/>
                <w:bCs/>
                <w:szCs w:val="24"/>
              </w:rPr>
            </w:pPr>
            <w:r w:rsidRPr="00257660">
              <w:rPr>
                <w:rFonts w:ascii="Cambria" w:eastAsia="Calibri" w:hAnsi="Cambria"/>
                <w:b/>
                <w:bCs/>
                <w:szCs w:val="24"/>
              </w:rPr>
              <w:t>Iskola/osztály:</w:t>
            </w:r>
            <w:r>
              <w:rPr>
                <w:rFonts w:ascii="Cambria" w:eastAsia="Calibri" w:hAnsi="Cambria"/>
                <w:b/>
                <w:bCs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4345E" w:rsidRPr="0004345E" w:rsidRDefault="0004345E" w:rsidP="0004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Cs/>
                <w:szCs w:val="24"/>
              </w:rPr>
            </w:pPr>
          </w:p>
        </w:tc>
      </w:tr>
      <w:tr w:rsidR="00670C6C" w:rsidRPr="00257660" w:rsidTr="008E5024">
        <w:trPr>
          <w:trHeight w:val="305"/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3C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/>
                <w:bCs/>
                <w:szCs w:val="24"/>
              </w:rPr>
            </w:pPr>
            <w:r w:rsidRPr="00257660">
              <w:rPr>
                <w:rFonts w:ascii="Cambria" w:eastAsia="Calibri" w:hAnsi="Cambria"/>
                <w:b/>
                <w:bCs/>
                <w:szCs w:val="24"/>
              </w:rPr>
              <w:t>Az óra címe:</w:t>
            </w:r>
            <w:r>
              <w:rPr>
                <w:rFonts w:ascii="Cambria" w:eastAsia="Calibri" w:hAnsi="Cambria"/>
                <w:b/>
                <w:bCs/>
                <w:szCs w:val="24"/>
              </w:rPr>
              <w:t xml:space="preserve"> </w:t>
            </w:r>
            <w:r w:rsidR="003C1D73">
              <w:rPr>
                <w:rFonts w:ascii="Cambria" w:eastAsia="Calibri" w:hAnsi="Cambria"/>
                <w:bCs/>
                <w:szCs w:val="24"/>
              </w:rPr>
              <w:t>Felvilágosodás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3C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/>
                <w:bCs/>
                <w:szCs w:val="24"/>
              </w:rPr>
            </w:pPr>
            <w:r w:rsidRPr="00257660">
              <w:rPr>
                <w:rFonts w:ascii="Cambria" w:eastAsia="Calibri" w:hAnsi="Cambria"/>
                <w:b/>
                <w:bCs/>
                <w:szCs w:val="24"/>
              </w:rPr>
              <w:t>Tematikus egység:</w:t>
            </w:r>
            <w:r>
              <w:rPr>
                <w:rFonts w:ascii="Cambria" w:eastAsia="Calibri" w:hAnsi="Cambria"/>
                <w:b/>
                <w:bCs/>
                <w:szCs w:val="24"/>
              </w:rPr>
              <w:t xml:space="preserve"> </w:t>
            </w:r>
            <w:r w:rsidR="003C1D73">
              <w:rPr>
                <w:rFonts w:ascii="Cambria" w:eastAsia="Calibri" w:hAnsi="Cambria"/>
                <w:bCs/>
                <w:szCs w:val="24"/>
              </w:rPr>
              <w:t>Felvilágosodás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3C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Cs/>
                <w:szCs w:val="24"/>
              </w:rPr>
            </w:pPr>
            <w:r w:rsidRPr="00257660">
              <w:rPr>
                <w:rFonts w:ascii="Cambria" w:hAnsi="Cambria"/>
                <w:b/>
                <w:szCs w:val="24"/>
              </w:rPr>
              <w:t>Az óra célja, feladata:</w:t>
            </w:r>
            <w:r>
              <w:rPr>
                <w:rFonts w:ascii="Cambria" w:hAnsi="Cambria"/>
                <w:b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A</w:t>
            </w:r>
            <w:r w:rsidR="003C1D73">
              <w:rPr>
                <w:rFonts w:ascii="Cambria" w:hAnsi="Cambria"/>
                <w:szCs w:val="24"/>
              </w:rPr>
              <w:t xml:space="preserve"> felvilágosodás idejének, eszmerendszerének, főbb jellemzőinek általános ismertetése. 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8E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Cs/>
                <w:szCs w:val="24"/>
              </w:rPr>
            </w:pPr>
            <w:r w:rsidRPr="00257660">
              <w:rPr>
                <w:rFonts w:ascii="Cambria" w:hAnsi="Cambria"/>
                <w:b/>
                <w:szCs w:val="24"/>
              </w:rPr>
              <w:t>Az óra fő didaktikai feladata:</w:t>
            </w:r>
            <w:r w:rsidRPr="00257660">
              <w:rPr>
                <w:rFonts w:ascii="Cambria" w:hAnsi="Cambria"/>
                <w:szCs w:val="24"/>
              </w:rPr>
              <w:t xml:space="preserve"> Ismeretbővítés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8E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257660">
              <w:rPr>
                <w:rFonts w:ascii="Cambria" w:eastAsia="Calibri" w:hAnsi="Cambria"/>
                <w:b/>
                <w:bCs/>
                <w:szCs w:val="24"/>
              </w:rPr>
              <w:t xml:space="preserve">Fejlesztendő </w:t>
            </w:r>
            <w:proofErr w:type="gramStart"/>
            <w:r w:rsidRPr="00257660">
              <w:rPr>
                <w:rFonts w:ascii="Cambria" w:eastAsia="Calibri" w:hAnsi="Cambria"/>
                <w:b/>
                <w:bCs/>
                <w:szCs w:val="24"/>
              </w:rPr>
              <w:t>képesség(</w:t>
            </w:r>
            <w:proofErr w:type="spellStart"/>
            <w:proofErr w:type="gramEnd"/>
            <w:r w:rsidRPr="00257660">
              <w:rPr>
                <w:rFonts w:ascii="Cambria" w:eastAsia="Calibri" w:hAnsi="Cambria"/>
                <w:b/>
                <w:bCs/>
                <w:szCs w:val="24"/>
              </w:rPr>
              <w:t>ek</w:t>
            </w:r>
            <w:proofErr w:type="spellEnd"/>
            <w:r w:rsidRPr="00257660">
              <w:rPr>
                <w:rFonts w:ascii="Cambria" w:eastAsia="Calibri" w:hAnsi="Cambria"/>
                <w:b/>
                <w:bCs/>
                <w:szCs w:val="24"/>
              </w:rPr>
              <w:t xml:space="preserve">): </w:t>
            </w:r>
            <w:r w:rsidRPr="008155BB">
              <w:rPr>
                <w:rFonts w:ascii="Cambria" w:eastAsia="Calibri" w:hAnsi="Cambria"/>
                <w:bCs/>
                <w:szCs w:val="24"/>
              </w:rPr>
              <w:t>Kr</w:t>
            </w:r>
            <w:r>
              <w:rPr>
                <w:rFonts w:ascii="Cambria" w:eastAsia="Calibri" w:hAnsi="Cambria"/>
                <w:bCs/>
                <w:szCs w:val="24"/>
              </w:rPr>
              <w:t>itika és elemzői gondolkodás fejlesztése, szövegértési kompetencia fejlesztése, szociális kompetencia fejlesztése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3C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/>
                <w:b/>
                <w:bCs/>
                <w:szCs w:val="24"/>
              </w:rPr>
            </w:pPr>
            <w:r w:rsidRPr="00257660">
              <w:rPr>
                <w:rFonts w:ascii="Cambria" w:hAnsi="Cambria"/>
                <w:b/>
                <w:szCs w:val="24"/>
              </w:rPr>
              <w:t>Előzetes ismeretek:</w:t>
            </w:r>
            <w:r>
              <w:rPr>
                <w:rFonts w:ascii="Cambria" w:hAnsi="Cambria"/>
                <w:b/>
                <w:szCs w:val="24"/>
              </w:rPr>
              <w:t xml:space="preserve"> </w:t>
            </w:r>
            <w:r w:rsidR="003C1D73">
              <w:rPr>
                <w:rFonts w:ascii="Cambria" w:hAnsi="Cambria"/>
                <w:szCs w:val="24"/>
              </w:rPr>
              <w:t>Klasszicizmus</w:t>
            </w:r>
          </w:p>
        </w:tc>
      </w:tr>
      <w:tr w:rsidR="00670C6C" w:rsidRPr="00257660" w:rsidTr="008E5024">
        <w:trPr>
          <w:jc w:val="center"/>
        </w:trPr>
        <w:tc>
          <w:tcPr>
            <w:tcW w:w="14175" w:type="dxa"/>
            <w:gridSpan w:val="2"/>
          </w:tcPr>
          <w:p w:rsidR="00670C6C" w:rsidRPr="00257660" w:rsidRDefault="00670C6C" w:rsidP="003C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257660">
              <w:rPr>
                <w:rFonts w:ascii="Cambria" w:hAnsi="Cambria"/>
                <w:b/>
                <w:szCs w:val="24"/>
              </w:rPr>
              <w:t xml:space="preserve">Tananyagok, eszközök: </w:t>
            </w:r>
            <w:r w:rsidR="003C1D73">
              <w:rPr>
                <w:rFonts w:ascii="Cambria" w:hAnsi="Cambria"/>
                <w:szCs w:val="24"/>
              </w:rPr>
              <w:t>füzet, tankönyv, laptop, kivetítő</w:t>
            </w:r>
          </w:p>
        </w:tc>
      </w:tr>
    </w:tbl>
    <w:p w:rsidR="00670C6C" w:rsidRPr="00257660" w:rsidRDefault="00670C6C" w:rsidP="00670C6C">
      <w:pPr>
        <w:spacing w:line="240" w:lineRule="auto"/>
        <w:jc w:val="center"/>
        <w:rPr>
          <w:rFonts w:ascii="Cambria" w:hAnsi="Cambria"/>
          <w:b/>
        </w:rPr>
      </w:pPr>
      <w:r w:rsidRPr="00257660">
        <w:rPr>
          <w:rFonts w:ascii="Cambria" w:hAnsi="Cambria"/>
          <w:b/>
        </w:rPr>
        <w:t>Az óra menete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572"/>
        <w:gridCol w:w="1974"/>
        <w:gridCol w:w="1975"/>
        <w:gridCol w:w="1975"/>
        <w:gridCol w:w="1975"/>
      </w:tblGrid>
      <w:tr w:rsidR="00670C6C" w:rsidRPr="00257660" w:rsidTr="008E5024">
        <w:trPr>
          <w:cantSplit/>
          <w:jc w:val="center"/>
        </w:trPr>
        <w:tc>
          <w:tcPr>
            <w:tcW w:w="704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</w:rPr>
            </w:pPr>
            <w:r w:rsidRPr="00257660">
              <w:rPr>
                <w:rFonts w:ascii="Cambria" w:hAnsi="Cambria"/>
                <w:b/>
              </w:rPr>
              <w:t>Idő</w:t>
            </w:r>
          </w:p>
        </w:tc>
        <w:tc>
          <w:tcPr>
            <w:tcW w:w="5572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</w:rPr>
            </w:pPr>
            <w:r w:rsidRPr="00257660">
              <w:rPr>
                <w:rFonts w:ascii="Cambria" w:hAnsi="Cambria"/>
                <w:b/>
              </w:rPr>
              <w:t>Tanári–tanulói tevékenységek</w:t>
            </w:r>
          </w:p>
        </w:tc>
        <w:tc>
          <w:tcPr>
            <w:tcW w:w="1974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</w:rPr>
            </w:pPr>
            <w:r w:rsidRPr="00257660">
              <w:rPr>
                <w:rFonts w:ascii="Cambria" w:hAnsi="Cambria"/>
                <w:b/>
              </w:rPr>
              <w:t>Didaktikai feladat</w:t>
            </w:r>
          </w:p>
        </w:tc>
        <w:tc>
          <w:tcPr>
            <w:tcW w:w="1975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  <w:b/>
              </w:rPr>
            </w:pPr>
            <w:r w:rsidRPr="00257660">
              <w:rPr>
                <w:rFonts w:ascii="Cambria" w:hAnsi="Cambria"/>
                <w:b/>
              </w:rPr>
              <w:t>Munkaformák</w:t>
            </w:r>
          </w:p>
        </w:tc>
        <w:tc>
          <w:tcPr>
            <w:tcW w:w="1975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  <w:b/>
              </w:rPr>
            </w:pPr>
            <w:r w:rsidRPr="00257660">
              <w:rPr>
                <w:rFonts w:ascii="Cambria" w:hAnsi="Cambria"/>
                <w:b/>
              </w:rPr>
              <w:t>Módszerek</w:t>
            </w:r>
          </w:p>
        </w:tc>
        <w:tc>
          <w:tcPr>
            <w:tcW w:w="1975" w:type="dxa"/>
          </w:tcPr>
          <w:p w:rsidR="00670C6C" w:rsidRPr="00257660" w:rsidRDefault="00670C6C" w:rsidP="008E5024">
            <w:pPr>
              <w:jc w:val="center"/>
              <w:rPr>
                <w:rFonts w:ascii="Cambria" w:hAnsi="Cambria"/>
                <w:b/>
              </w:rPr>
            </w:pPr>
            <w:r w:rsidRPr="00257660">
              <w:rPr>
                <w:rFonts w:ascii="Cambria" w:hAnsi="Cambria"/>
                <w:b/>
              </w:rPr>
              <w:t>Eszközök</w:t>
            </w:r>
          </w:p>
        </w:tc>
      </w:tr>
      <w:tr w:rsidR="00670C6C" w:rsidRPr="00257660" w:rsidTr="008E5024">
        <w:trPr>
          <w:cantSplit/>
          <w:trHeight w:val="1455"/>
          <w:jc w:val="center"/>
        </w:trPr>
        <w:tc>
          <w:tcPr>
            <w:tcW w:w="704" w:type="dxa"/>
          </w:tcPr>
          <w:p w:rsidR="00670C6C" w:rsidRPr="00257660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1-7</w:t>
            </w:r>
          </w:p>
        </w:tc>
        <w:tc>
          <w:tcPr>
            <w:tcW w:w="5572" w:type="dxa"/>
          </w:tcPr>
          <w:p w:rsidR="00670C6C" w:rsidRPr="00060650" w:rsidRDefault="006631E3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060650">
              <w:rPr>
                <w:rFonts w:ascii="Cambria" w:hAnsi="Cambria"/>
                <w:i/>
              </w:rPr>
              <w:t>Mai témánk a felvilágosodás lesz, írjátok fel címnek! Az első órán a korszak általános információ</w:t>
            </w:r>
            <w:r w:rsidR="00B763DE">
              <w:rPr>
                <w:rFonts w:ascii="Cambria" w:hAnsi="Cambria"/>
                <w:i/>
              </w:rPr>
              <w:t>i</w:t>
            </w:r>
            <w:r w:rsidRPr="00060650">
              <w:rPr>
                <w:rFonts w:ascii="Cambria" w:hAnsi="Cambria"/>
                <w:i/>
              </w:rPr>
              <w:t>t, eszméit, főbb jellemzőit beszéljük meg, a második órán pedig a felvilágosodás irodalmát vezetjük be.</w:t>
            </w:r>
            <w:r w:rsidR="00060650">
              <w:rPr>
                <w:rFonts w:ascii="Cambria" w:hAnsi="Cambria"/>
                <w:i/>
              </w:rPr>
              <w:t xml:space="preserve"> </w:t>
            </w:r>
            <w:r w:rsidR="00060650" w:rsidRPr="00060650">
              <w:rPr>
                <w:rFonts w:ascii="Cambria" w:hAnsi="Cambria"/>
              </w:rPr>
              <w:t>(1</w:t>
            </w:r>
            <w:proofErr w:type="gramStart"/>
            <w:r w:rsidR="00060650" w:rsidRPr="00060650">
              <w:rPr>
                <w:rFonts w:ascii="Cambria" w:hAnsi="Cambria"/>
              </w:rPr>
              <w:t>.dia</w:t>
            </w:r>
            <w:proofErr w:type="gramEnd"/>
            <w:r w:rsidR="00060650" w:rsidRPr="00060650">
              <w:rPr>
                <w:rFonts w:ascii="Cambria" w:hAnsi="Cambria"/>
              </w:rPr>
              <w:t>)</w:t>
            </w:r>
          </w:p>
          <w:p w:rsidR="006631E3" w:rsidRDefault="006631E3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6631E3" w:rsidRDefault="006631E3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Felírja a táblára: felvilágosodás.</w:t>
            </w:r>
          </w:p>
          <w:p w:rsidR="006631E3" w:rsidRDefault="006631E3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6631E3" w:rsidRPr="00060650" w:rsidRDefault="006631E3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060650">
              <w:rPr>
                <w:rFonts w:ascii="Cambria" w:hAnsi="Cambria"/>
                <w:i/>
              </w:rPr>
              <w:t>Mi jut eszünkbe erről a szóról, mit jelenthet, mire utalhat? Készítsünk gondolattérképet</w:t>
            </w:r>
            <w:r w:rsidR="00B763DE">
              <w:rPr>
                <w:rFonts w:ascii="Cambria" w:hAnsi="Cambria"/>
                <w:i/>
              </w:rPr>
              <w:t>!</w:t>
            </w:r>
          </w:p>
          <w:p w:rsidR="006631E3" w:rsidRDefault="006631E3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 gondolattérkép lehetséges elemei: fény, világosság, ész, tanulás, eszme, korszak…</w:t>
            </w:r>
            <w:r w:rsidR="00B763D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stb.)</w:t>
            </w:r>
          </w:p>
          <w:p w:rsidR="00060650" w:rsidRDefault="00060650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60650" w:rsidRDefault="00060650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dia</w:t>
            </w:r>
          </w:p>
          <w:p w:rsidR="00060650" w:rsidRPr="001B6B98" w:rsidRDefault="00060650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B6B98">
              <w:rPr>
                <w:rFonts w:ascii="Cambria" w:hAnsi="Cambria"/>
                <w:i/>
              </w:rPr>
              <w:t xml:space="preserve">Nézzük meg a kivetített idézeteket! Ezek mind a felvilágosodás korához kapcsolhatók. Ezek alapján mivel tudnánk bővíteni a gondolattérképünket? </w:t>
            </w:r>
          </w:p>
          <w:p w:rsidR="00060650" w:rsidRDefault="00060650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(Pl.: gondolkodás, értelem, felnőtt lét stb.)</w:t>
            </w:r>
          </w:p>
          <w:p w:rsidR="006631E3" w:rsidRPr="0052135F" w:rsidRDefault="006631E3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</w:tcPr>
          <w:p w:rsidR="00670C6C" w:rsidRPr="00257660" w:rsidRDefault="00060650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ráhangolódás</w:t>
            </w:r>
          </w:p>
        </w:tc>
        <w:tc>
          <w:tcPr>
            <w:tcW w:w="1975" w:type="dxa"/>
          </w:tcPr>
          <w:p w:rsidR="00670C6C" w:rsidRDefault="00060650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közös osztálymunka</w:t>
            </w:r>
          </w:p>
          <w:p w:rsidR="00670C6C" w:rsidRPr="00257660" w:rsidRDefault="00670C6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75" w:type="dxa"/>
          </w:tcPr>
          <w:p w:rsidR="00670C6C" w:rsidRPr="00257660" w:rsidRDefault="00060650" w:rsidP="008E5024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lang w:val="de-DE"/>
              </w:rPr>
              <w:t>gondolattérkép</w:t>
            </w:r>
            <w:proofErr w:type="spellEnd"/>
          </w:p>
        </w:tc>
        <w:tc>
          <w:tcPr>
            <w:tcW w:w="1975" w:type="dxa"/>
          </w:tcPr>
          <w:p w:rsidR="00670C6C" w:rsidRPr="00257660" w:rsidRDefault="00060650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füzet, tábla, laptop, kivetítő</w:t>
            </w:r>
          </w:p>
        </w:tc>
      </w:tr>
      <w:tr w:rsidR="00670C6C" w:rsidRPr="00257660" w:rsidTr="008E5024">
        <w:trPr>
          <w:cantSplit/>
          <w:trHeight w:val="1305"/>
          <w:jc w:val="center"/>
        </w:trPr>
        <w:tc>
          <w:tcPr>
            <w:tcW w:w="704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7-12</w:t>
            </w:r>
          </w:p>
        </w:tc>
        <w:tc>
          <w:tcPr>
            <w:tcW w:w="5572" w:type="dxa"/>
          </w:tcPr>
          <w:p w:rsidR="00670C6C" w:rsidRPr="008C31E3" w:rsidRDefault="00843CF2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8C31E3">
              <w:rPr>
                <w:rFonts w:ascii="Cambria" w:hAnsi="Cambria"/>
                <w:i/>
              </w:rPr>
              <w:t>Nézzük meg, mi a felvilágosodás! Az európai eszme- és művelődéstörténetnek nagyjából az angol polgári forradalomtól a francia polgári forradalomig terjedő időszakát felvilágosodásnak nevezzük, tehát a XVII.</w:t>
            </w:r>
            <w:r w:rsidR="008C31E3">
              <w:rPr>
                <w:rFonts w:ascii="Cambria" w:hAnsi="Cambria"/>
                <w:i/>
              </w:rPr>
              <w:t xml:space="preserve"> század második felétől a XVIII.</w:t>
            </w:r>
            <w:r w:rsidRPr="008C31E3">
              <w:rPr>
                <w:rFonts w:ascii="Cambria" w:hAnsi="Cambria"/>
                <w:i/>
              </w:rPr>
              <w:t xml:space="preserve"> század végéig, leginkább azonban a XVIII. századot szoktuk a felvilágosodás korának tekinteni. </w:t>
            </w:r>
          </w:p>
          <w:p w:rsidR="00843CF2" w:rsidRPr="008C31E3" w:rsidRDefault="00843CF2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8C31E3">
              <w:rPr>
                <w:rFonts w:ascii="Cambria" w:hAnsi="Cambria"/>
                <w:i/>
              </w:rPr>
              <w:t>A felvilágosodás egy eszmeáramlat, szellemi mozgalom, mely az egész kort áthatotta</w:t>
            </w:r>
            <w:r w:rsidR="00B763DE">
              <w:rPr>
                <w:rFonts w:ascii="Cambria" w:hAnsi="Cambria"/>
                <w:i/>
              </w:rPr>
              <w:t>.</w:t>
            </w:r>
            <w:r w:rsidRPr="008C31E3">
              <w:rPr>
                <w:rFonts w:ascii="Cambria" w:hAnsi="Cambria"/>
                <w:i/>
              </w:rPr>
              <w:t xml:space="preserve"> </w:t>
            </w:r>
            <w:r w:rsidR="00B763DE">
              <w:rPr>
                <w:rFonts w:ascii="Cambria" w:hAnsi="Cambria"/>
                <w:i/>
              </w:rPr>
              <w:t>A</w:t>
            </w:r>
            <w:r w:rsidRPr="008C31E3">
              <w:rPr>
                <w:rFonts w:ascii="Cambria" w:hAnsi="Cambria"/>
                <w:i/>
              </w:rPr>
              <w:t xml:space="preserve"> civil életet</w:t>
            </w:r>
            <w:r w:rsidR="008C31E3">
              <w:rPr>
                <w:rFonts w:ascii="Cambria" w:hAnsi="Cambria"/>
                <w:i/>
              </w:rPr>
              <w:t>,</w:t>
            </w:r>
            <w:r w:rsidRPr="008C31E3">
              <w:rPr>
                <w:rFonts w:ascii="Cambria" w:hAnsi="Cambria"/>
                <w:i/>
              </w:rPr>
              <w:t xml:space="preserve"> az irodalmat és minden művészeti ágat az újkori tudomány és filozófia, azaz a felvilágosodás eszméi hatottak át</w:t>
            </w:r>
            <w:r w:rsidR="00B763DE">
              <w:rPr>
                <w:rFonts w:ascii="Cambria" w:hAnsi="Cambria"/>
                <w:i/>
              </w:rPr>
              <w:t>.</w:t>
            </w:r>
            <w:r w:rsidRPr="008C31E3">
              <w:rPr>
                <w:rFonts w:ascii="Cambria" w:hAnsi="Cambria"/>
                <w:i/>
              </w:rPr>
              <w:t xml:space="preserve"> </w:t>
            </w:r>
          </w:p>
          <w:p w:rsidR="00843CF2" w:rsidRPr="008C31E3" w:rsidRDefault="00843CF2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8C31E3">
              <w:rPr>
                <w:rFonts w:ascii="Cambria" w:hAnsi="Cambria"/>
                <w:i/>
              </w:rPr>
              <w:t xml:space="preserve">A XVIII. századi Európában mindez egy teljes korszakváltást eredményezett, mivel a modernség kezdetének is tekinthető. Ezt követően alakult át a gazdaság, a társadalom, a mindennapi életmód, a gondolkodás. Ezt az óra többi részében kibontjuk, legalábbis egy részét, ugyanis majd történelemórákon is fontos szerepeket fog kapni ez a korszak, mivel </w:t>
            </w:r>
            <w:r w:rsidR="001B6B98" w:rsidRPr="008C31E3">
              <w:rPr>
                <w:rFonts w:ascii="Cambria" w:hAnsi="Cambria"/>
                <w:i/>
              </w:rPr>
              <w:t xml:space="preserve">ekkortájt születtek meg a mai demokráciák alapjait </w:t>
            </w:r>
            <w:r w:rsidR="00B763DE">
              <w:rPr>
                <w:rFonts w:ascii="Cambria" w:hAnsi="Cambria"/>
                <w:i/>
              </w:rPr>
              <w:t>adó</w:t>
            </w:r>
            <w:r w:rsidR="001B6B98" w:rsidRPr="008C31E3">
              <w:rPr>
                <w:rFonts w:ascii="Cambria" w:hAnsi="Cambria"/>
                <w:i/>
              </w:rPr>
              <w:t xml:space="preserve"> államelméletek. </w:t>
            </w:r>
          </w:p>
          <w:p w:rsidR="001B6B98" w:rsidRDefault="001B6B98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C31E3">
              <w:rPr>
                <w:rFonts w:ascii="Cambria" w:hAnsi="Cambria"/>
                <w:i/>
              </w:rPr>
              <w:t>A felvilágosodás eltérően jelentkezett az angol, francia és német területeken</w:t>
            </w:r>
            <w:r w:rsidR="00B763DE">
              <w:rPr>
                <w:rFonts w:ascii="Cambria" w:hAnsi="Cambria"/>
                <w:i/>
              </w:rPr>
              <w:t>.</w:t>
            </w:r>
            <w:r w:rsidRPr="008C31E3">
              <w:rPr>
                <w:rFonts w:ascii="Cambria" w:hAnsi="Cambria"/>
                <w:i/>
              </w:rPr>
              <w:t xml:space="preserve"> Angliában jelent meg először, szellemisége leginkább francia közvetítéssel jutott el Európába.</w:t>
            </w:r>
          </w:p>
        </w:tc>
        <w:tc>
          <w:tcPr>
            <w:tcW w:w="1974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ismeretbővítés</w:t>
            </w:r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frontális</w:t>
            </w:r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lang w:val="de-DE"/>
              </w:rPr>
              <w:t>tanári</w:t>
            </w:r>
            <w:proofErr w:type="spellEnd"/>
            <w:r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lang w:val="de-DE"/>
              </w:rPr>
              <w:t>előadás</w:t>
            </w:r>
            <w:proofErr w:type="spellEnd"/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füzet, laptop, kivetítő</w:t>
            </w:r>
          </w:p>
        </w:tc>
      </w:tr>
      <w:tr w:rsidR="00670C6C" w:rsidRPr="00257660" w:rsidTr="00237BEC">
        <w:trPr>
          <w:cantSplit/>
          <w:trHeight w:val="2445"/>
          <w:jc w:val="center"/>
        </w:trPr>
        <w:tc>
          <w:tcPr>
            <w:tcW w:w="704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12-25</w:t>
            </w:r>
          </w:p>
        </w:tc>
        <w:tc>
          <w:tcPr>
            <w:tcW w:w="5572" w:type="dxa"/>
          </w:tcPr>
          <w:p w:rsidR="00670C6C" w:rsidRPr="001B6B98" w:rsidRDefault="001B6B98" w:rsidP="008E502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1B6B98">
              <w:rPr>
                <w:rFonts w:ascii="Cambria" w:hAnsi="Cambria"/>
                <w:i/>
              </w:rPr>
              <w:t>Alakítsatok 5 csoportot! A következőkben a felvilágosodás jellemzőit, világképét szövegek alapján fogjuk feldolgozni. Minden csoport fog kapni egy rövid szöveget, melyet az utasítás szerint fel kell dolgoznotok és gondolattérképet kell készítenetek. Utána közösen megbeszéljük a csoportok segítségével a legfontosabb információkat.</w:t>
            </w:r>
          </w:p>
          <w:p w:rsidR="001B6B98" w:rsidRDefault="001B6B98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1B6B98" w:rsidRDefault="001B6B98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Diákok csoportban dolgoznak, közben tanár körbejár, segít, ahol szükséges.</w:t>
            </w:r>
          </w:p>
          <w:p w:rsidR="00237BEC" w:rsidRDefault="00237BEC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szövegértés fejlesztése, rendszerező készség fejlesztése, lényegkiemelés, ismeretbővítés</w:t>
            </w:r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csoportmunka</w:t>
            </w:r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lang w:val="de-DE"/>
              </w:rPr>
              <w:t>Vázlat</w:t>
            </w:r>
            <w:proofErr w:type="spellEnd"/>
            <w:r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lang w:val="de-DE"/>
              </w:rPr>
              <w:t>készítése</w:t>
            </w:r>
            <w:proofErr w:type="spellEnd"/>
            <w:r>
              <w:rPr>
                <w:rFonts w:ascii="Cambria" w:hAnsi="Cambria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lang w:val="de-DE"/>
              </w:rPr>
              <w:t>gondolattérkép</w:t>
            </w:r>
            <w:proofErr w:type="spellEnd"/>
            <w:r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lang w:val="de-DE"/>
              </w:rPr>
              <w:t>készítése</w:t>
            </w:r>
            <w:proofErr w:type="spellEnd"/>
          </w:p>
        </w:tc>
        <w:tc>
          <w:tcPr>
            <w:tcW w:w="1975" w:type="dxa"/>
          </w:tcPr>
          <w:p w:rsidR="00670C6C" w:rsidRDefault="001B6B98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füzet, feladatlap</w:t>
            </w:r>
          </w:p>
        </w:tc>
      </w:tr>
      <w:tr w:rsidR="00237BEC" w:rsidRPr="00257660" w:rsidTr="00237BEC">
        <w:trPr>
          <w:cantSplit/>
          <w:trHeight w:val="1140"/>
          <w:jc w:val="center"/>
        </w:trPr>
        <w:tc>
          <w:tcPr>
            <w:tcW w:w="704" w:type="dxa"/>
          </w:tcPr>
          <w:p w:rsidR="00237BEC" w:rsidRDefault="008E5024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25-44</w:t>
            </w:r>
          </w:p>
        </w:tc>
        <w:tc>
          <w:tcPr>
            <w:tcW w:w="5572" w:type="dxa"/>
          </w:tcPr>
          <w:p w:rsidR="00237BEC" w:rsidRDefault="00237BEC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Csoportok eredményeinek megbeszélése témánként, gondolattérképek felrajzolása, főbb információk tudatosít</w:t>
            </w:r>
            <w:r w:rsidR="0004345E">
              <w:rPr>
                <w:rFonts w:ascii="Cambria" w:hAnsi="Cambria"/>
              </w:rPr>
              <w:t xml:space="preserve">ása ppt segítségével. </w:t>
            </w:r>
          </w:p>
          <w:p w:rsidR="00237BEC" w:rsidRDefault="00237BEC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megoldások megtalálhatóak a mellékletben. </w:t>
            </w:r>
          </w:p>
          <w:p w:rsidR="00237BEC" w:rsidRPr="00237BEC" w:rsidRDefault="00237BEC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ellenőrzés, ismeretbővítés</w:t>
            </w:r>
          </w:p>
        </w:tc>
        <w:tc>
          <w:tcPr>
            <w:tcW w:w="1975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közös osztálymunka, frontális</w:t>
            </w:r>
          </w:p>
        </w:tc>
        <w:tc>
          <w:tcPr>
            <w:tcW w:w="1975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proofErr w:type="spellStart"/>
            <w:r>
              <w:rPr>
                <w:rFonts w:ascii="Cambria" w:hAnsi="Cambria"/>
                <w:lang w:val="de-DE"/>
              </w:rPr>
              <w:t>megbeszélés</w:t>
            </w:r>
            <w:proofErr w:type="spellEnd"/>
            <w:r>
              <w:rPr>
                <w:rFonts w:ascii="Cambria" w:hAnsi="Cambria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lang w:val="de-DE"/>
              </w:rPr>
              <w:t>tanári</w:t>
            </w:r>
            <w:proofErr w:type="spellEnd"/>
            <w:r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lang w:val="de-DE"/>
              </w:rPr>
              <w:t>magyarázat</w:t>
            </w:r>
            <w:proofErr w:type="spellEnd"/>
          </w:p>
        </w:tc>
        <w:tc>
          <w:tcPr>
            <w:tcW w:w="1975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füzet, tábla, laptop, projektor</w:t>
            </w:r>
          </w:p>
        </w:tc>
      </w:tr>
      <w:tr w:rsidR="00237BEC" w:rsidRPr="00257660" w:rsidTr="008E5024">
        <w:trPr>
          <w:cantSplit/>
          <w:trHeight w:val="393"/>
          <w:jc w:val="center"/>
        </w:trPr>
        <w:tc>
          <w:tcPr>
            <w:tcW w:w="704" w:type="dxa"/>
          </w:tcPr>
          <w:p w:rsidR="00237BEC" w:rsidRDefault="008E5024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44-45</w:t>
            </w:r>
          </w:p>
        </w:tc>
        <w:tc>
          <w:tcPr>
            <w:tcW w:w="5572" w:type="dxa"/>
          </w:tcPr>
          <w:p w:rsidR="00237BEC" w:rsidRDefault="00237BEC" w:rsidP="008E5024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Mindenki írjon fel legalább egy dolgot, ami a felvilágosodáshoz köthető és nélkülözhetetlen része a mai</w:t>
            </w:r>
            <w:r w:rsidR="00B763DE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modern életünknek! Ez lehet konkrét dolog, fogalom, találmány stb.</w:t>
            </w:r>
          </w:p>
        </w:tc>
        <w:tc>
          <w:tcPr>
            <w:tcW w:w="1974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reflexió</w:t>
            </w:r>
          </w:p>
        </w:tc>
        <w:tc>
          <w:tcPr>
            <w:tcW w:w="1975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egyéni</w:t>
            </w:r>
          </w:p>
        </w:tc>
        <w:tc>
          <w:tcPr>
            <w:tcW w:w="1975" w:type="dxa"/>
          </w:tcPr>
          <w:p w:rsidR="00237BEC" w:rsidRDefault="00237BEC" w:rsidP="008E5024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975" w:type="dxa"/>
          </w:tcPr>
          <w:p w:rsidR="00237BEC" w:rsidRDefault="00CB401A" w:rsidP="008E502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füzet</w:t>
            </w:r>
          </w:p>
        </w:tc>
      </w:tr>
    </w:tbl>
    <w:p w:rsidR="00670C6C" w:rsidRPr="00E95871" w:rsidRDefault="00670C6C" w:rsidP="00670C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E6E48" w:rsidRPr="005A23FD" w:rsidRDefault="00BE6E48">
      <w:pPr>
        <w:rPr>
          <w:rFonts w:ascii="Times New Roman" w:hAnsi="Times New Roman" w:cs="Times New Roman"/>
        </w:rPr>
      </w:pPr>
      <w:r w:rsidRPr="005A23FD">
        <w:rPr>
          <w:rFonts w:ascii="Times New Roman" w:hAnsi="Times New Roman" w:cs="Times New Roman"/>
        </w:rPr>
        <w:t>Melléklet: feladatlap, ppt</w:t>
      </w:r>
    </w:p>
    <w:p w:rsidR="00BE6E48" w:rsidRDefault="00BE6E48">
      <w:r>
        <w:br w:type="page"/>
      </w:r>
    </w:p>
    <w:p w:rsidR="00BE6E48" w:rsidRPr="00FF6B63" w:rsidRDefault="00BE6E48" w:rsidP="00BE6E48">
      <w:pPr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1</w:t>
      </w:r>
      <w:r w:rsidRPr="00FF6B63"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csop</w:t>
      </w:r>
      <w:r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ort: </w:t>
      </w:r>
      <w:r w:rsidR="00B14F91">
        <w:rPr>
          <w:rStyle w:val="Kiemels"/>
          <w:rFonts w:ascii="Times New Roman" w:hAnsi="Times New Roman" w:cs="Times New Roman"/>
          <w:b/>
          <w:i w:val="0"/>
          <w:cap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felvilágosodás eszmerendszere, történelemszemlélete, emberképe</w:t>
      </w:r>
    </w:p>
    <w:p w:rsidR="00BE6E48" w:rsidRPr="00FF6B63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  <w:r>
        <w:rPr>
          <w:rStyle w:val="Kiemels"/>
          <w:b/>
          <w:i w:val="0"/>
          <w:color w:val="000000" w:themeColor="text1"/>
          <w:bdr w:val="none" w:sz="0" w:space="0" w:color="auto" w:frame="1"/>
          <w:shd w:val="clear" w:color="auto" w:fill="FFFFFF"/>
        </w:rPr>
        <w:t>Olvassátok el az alábbi szöveget</w:t>
      </w:r>
      <w:r w:rsidRPr="00FF6B63">
        <w:rPr>
          <w:rStyle w:val="Kiemels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! Értelmezzétek és </w:t>
      </w:r>
      <w:r w:rsidRPr="00FF6B63">
        <w:rPr>
          <w:b/>
          <w:color w:val="000000" w:themeColor="text1"/>
        </w:rPr>
        <w:t>készíts</w:t>
      </w:r>
      <w:r w:rsidR="004C6A16">
        <w:rPr>
          <w:b/>
          <w:color w:val="000000" w:themeColor="text1"/>
        </w:rPr>
        <w:t>e</w:t>
      </w:r>
      <w:r w:rsidRPr="00FF6B63">
        <w:rPr>
          <w:b/>
          <w:color w:val="000000" w:themeColor="text1"/>
        </w:rPr>
        <w:t>tek gondolattérképe</w:t>
      </w:r>
      <w:r w:rsidR="00B14F91">
        <w:rPr>
          <w:b/>
          <w:color w:val="000000" w:themeColor="text1"/>
        </w:rPr>
        <w:t>ket vagy fürtábrákat,</w:t>
      </w:r>
      <w:r w:rsidRPr="00FF6B63">
        <w:rPr>
          <w:b/>
          <w:color w:val="000000" w:themeColor="text1"/>
        </w:rPr>
        <w:t xml:space="preserve"> melynek segítségével bemutatjátok az osztály többi részének a felvilágosodás </w:t>
      </w:r>
      <w:r>
        <w:rPr>
          <w:b/>
          <w:color w:val="000000" w:themeColor="text1"/>
        </w:rPr>
        <w:t>eszmerendszerét</w:t>
      </w:r>
      <w:r w:rsidR="00FA3664">
        <w:rPr>
          <w:b/>
          <w:color w:val="000000" w:themeColor="text1"/>
        </w:rPr>
        <w:t>, történelemszemléletét, emberképét</w:t>
      </w:r>
      <w:r w:rsidRPr="00FF6B63">
        <w:rPr>
          <w:b/>
          <w:color w:val="000000" w:themeColor="text1"/>
        </w:rPr>
        <w:t>!</w:t>
      </w:r>
    </w:p>
    <w:p w:rsidR="00BE6E48" w:rsidRPr="00FF6B63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Style w:val="Kiemels"/>
          <w:b/>
          <w:i w:val="0"/>
          <w:iCs w:val="0"/>
          <w:color w:val="000000" w:themeColor="text1"/>
        </w:rPr>
      </w:pPr>
    </w:p>
    <w:p w:rsidR="00BE6E48" w:rsidRPr="00B057C8" w:rsidRDefault="00BE6E48" w:rsidP="00BE6E48">
      <w:pPr>
        <w:jc w:val="both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057C8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felvilágosodás 17. századi Európában kezdődő és 18. századra uralkodóvá váló, polgári társadalmat megteremteni akaró, az értelmet, logikus gondolkodást, tapasztalati megismerést és a hagyományos intézmények, szokások, erkölcsök és egyházi hatalom kritikai megkérdőjelezését középpontba állító eszmeáramlat volt. A hagyományokra épülő világ alapfogalmai helyett új, szintén megkérdőjelezhetetlen alapelvek kerültek az emberek gondolkodásába. Ezek legfontosabbika, hogy minden változik, fejlődik. A társadalomról elmélkedve a felvilágosult gondolkodók máig értékálló elveket hirdettek meg: toleranciát, türelmet hirdetve elutasították a vallási fanatizmust; a szabadságot eszményítve elvetették a zsarnokságot. A 18. században a művelt Európát – társadalmi különbségek nélkül – magával ragadó eszmeáramlat szinte divattá, korszellemmé vált. </w:t>
      </w:r>
    </w:p>
    <w:p w:rsidR="00BE6E48" w:rsidRPr="00B057C8" w:rsidRDefault="00BE6E48" w:rsidP="00BE6E48">
      <w:pPr>
        <w:jc w:val="both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057C8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mozgalom vezetőinek célja az volt,</w:t>
      </w:r>
      <w:r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057C8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hogy a világot „az irracionalitás, a babonák és a zsarnokság hosszú időszaka után a fejlődés útjára vezessék”. Ez forradalmi folyamatokat indított el az emberi értelem, a természet,</w:t>
      </w:r>
      <w:r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057C8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az Isten, a gazdaság é</w:t>
      </w:r>
      <w:r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 a társadalom szemléletében.</w:t>
      </w:r>
    </w:p>
    <w:p w:rsidR="00BE6E48" w:rsidRPr="00B057C8" w:rsidRDefault="00BE6E48" w:rsidP="00BE6E48">
      <w:pPr>
        <w:jc w:val="both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Mindezeknek köszönhetően k</w:t>
      </w:r>
      <w:r w:rsidRPr="00B057C8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iemelt szerepet tulajdonítottak az oktatásnak és a nevelésnek.</w:t>
      </w:r>
    </w:p>
    <w:p w:rsidR="00BE6E48" w:rsidRDefault="00BE6E48" w:rsidP="00BE6E4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BE6E48" w:rsidRDefault="00BE6E48" w:rsidP="00BE6E4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b/>
          <w:color w:val="000000" w:themeColor="text1"/>
        </w:rPr>
        <w:br w:type="page"/>
      </w:r>
    </w:p>
    <w:p w:rsidR="00BE6E48" w:rsidRPr="00FA1EB8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  <w:r w:rsidRPr="00FA1EB8">
        <w:rPr>
          <w:b/>
          <w:color w:val="000000" w:themeColor="text1"/>
        </w:rPr>
        <w:lastRenderedPageBreak/>
        <w:t>2. csoport: RACIONALIZMUS ÉS EMPIRIZMUS</w:t>
      </w:r>
    </w:p>
    <w:p w:rsidR="00BE6E48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  <w:r w:rsidRPr="00A82742">
        <w:rPr>
          <w:b/>
          <w:color w:val="000000" w:themeColor="text1"/>
        </w:rPr>
        <w:t>Olvassátok el az alábbi szöveget, értelmezzétek, húzzátok alá és jegyzeteljétek ki a két irányzat legfontosabb ismérveit! Továbbá készíts</w:t>
      </w:r>
      <w:r w:rsidR="00B763DE">
        <w:rPr>
          <w:b/>
          <w:color w:val="000000" w:themeColor="text1"/>
        </w:rPr>
        <w:t>e</w:t>
      </w:r>
      <w:r w:rsidRPr="00A82742">
        <w:rPr>
          <w:b/>
          <w:color w:val="000000" w:themeColor="text1"/>
        </w:rPr>
        <w:t>tek mindkét irányzathoz gondolattérképet, melynek segítségével bemutatjátok az osztály többi részének az irányzatokat!</w:t>
      </w:r>
    </w:p>
    <w:p w:rsidR="00BE6E48" w:rsidRPr="00A82742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</w:p>
    <w:p w:rsidR="00BE6E48" w:rsidRPr="00FA1EB8" w:rsidRDefault="00BE6E48" w:rsidP="00BE6E48">
      <w:pPr>
        <w:pStyle w:val="NormlWeb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</w:rPr>
      </w:pPr>
      <w:r w:rsidRPr="00FA1EB8">
        <w:rPr>
          <w:color w:val="000000" w:themeColor="text1"/>
        </w:rPr>
        <w:t xml:space="preserve">A francia felvilágosodás előfutárának tekinthető René Descartes (e. </w:t>
      </w:r>
      <w:proofErr w:type="spellStart"/>
      <w:r w:rsidRPr="00FA1EB8">
        <w:rPr>
          <w:color w:val="000000" w:themeColor="text1"/>
        </w:rPr>
        <w:t>dékárt</w:t>
      </w:r>
      <w:proofErr w:type="spellEnd"/>
      <w:r w:rsidRPr="00FA1EB8">
        <w:rPr>
          <w:color w:val="000000" w:themeColor="text1"/>
        </w:rPr>
        <w:t>, 1596–1650), aki a racionalista gondolkodásmód egyik úttörője. A racionalizmus filozófia és ismeretelméleti módszer. Descartes az</w:t>
      </w:r>
      <w:r w:rsidRPr="00FA1EB8">
        <w:rPr>
          <w:rStyle w:val="apple-converted-space"/>
          <w:color w:val="000000" w:themeColor="text1"/>
        </w:rPr>
        <w:t> </w:t>
      </w:r>
      <w:r w:rsidRPr="00FA1EB8">
        <w:rPr>
          <w:rStyle w:val="Kiemels"/>
          <w:color w:val="000000" w:themeColor="text1"/>
          <w:bdr w:val="none" w:sz="0" w:space="0" w:color="auto" w:frame="1"/>
        </w:rPr>
        <w:t>Értekezés a módszerről</w:t>
      </w:r>
      <w:r w:rsidRPr="00FA1EB8">
        <w:rPr>
          <w:rStyle w:val="apple-converted-space"/>
          <w:color w:val="000000" w:themeColor="text1"/>
        </w:rPr>
        <w:t> </w:t>
      </w:r>
      <w:r w:rsidRPr="00FA1EB8">
        <w:rPr>
          <w:color w:val="000000" w:themeColor="text1"/>
        </w:rPr>
        <w:t>című tanulmányában (1637) dolgozta ki elméletét. E szerint „</w:t>
      </w:r>
      <w:r w:rsidRPr="00FA1EB8">
        <w:rPr>
          <w:rStyle w:val="Kiemels"/>
          <w:color w:val="000000" w:themeColor="text1"/>
          <w:bdr w:val="none" w:sz="0" w:space="0" w:color="auto" w:frame="1"/>
        </w:rPr>
        <w:t>az értelem az embernek veleszületett adottsága, s valamennyi ismeretének végső forrása”.</w:t>
      </w:r>
      <w:r w:rsidRPr="00FA1EB8">
        <w:rPr>
          <w:rStyle w:val="apple-converted-space"/>
          <w:color w:val="000000" w:themeColor="text1"/>
        </w:rPr>
        <w:t> </w:t>
      </w:r>
      <w:r w:rsidRPr="00FA1EB8">
        <w:rPr>
          <w:color w:val="000000" w:themeColor="text1"/>
        </w:rPr>
        <w:t>A helyes gondolkodás módszerét kell tehát követni: „</w:t>
      </w:r>
      <w:r w:rsidRPr="00FA1EB8">
        <w:rPr>
          <w:rStyle w:val="Kiemels"/>
          <w:color w:val="000000" w:themeColor="text1"/>
          <w:bdr w:val="none" w:sz="0" w:space="0" w:color="auto" w:frame="1"/>
        </w:rPr>
        <w:t>Mindenben kételkedem, de abban nem, hogy én kételkedem.”</w:t>
      </w:r>
      <w:r w:rsidR="00B763DE">
        <w:rPr>
          <w:rStyle w:val="Kiemels"/>
          <w:color w:val="000000" w:themeColor="text1"/>
          <w:bdr w:val="none" w:sz="0" w:space="0" w:color="auto" w:frame="1"/>
        </w:rPr>
        <w:t xml:space="preserve"> </w:t>
      </w:r>
      <w:r w:rsidRPr="00FA1EB8">
        <w:rPr>
          <w:color w:val="000000" w:themeColor="text1"/>
        </w:rPr>
        <w:t>Descartes másik szállóigévé vált mondása – „</w:t>
      </w:r>
      <w:r w:rsidRPr="00FA1EB8">
        <w:rPr>
          <w:rStyle w:val="Kiemels"/>
          <w:color w:val="000000" w:themeColor="text1"/>
          <w:bdr w:val="none" w:sz="0" w:space="0" w:color="auto" w:frame="1"/>
        </w:rPr>
        <w:t>Gondolkodom, tehát vagyok”</w:t>
      </w:r>
      <w:r w:rsidRPr="00FA1EB8">
        <w:rPr>
          <w:rStyle w:val="apple-converted-space"/>
          <w:color w:val="000000" w:themeColor="text1"/>
        </w:rPr>
        <w:t> </w:t>
      </w:r>
      <w:r w:rsidRPr="00FA1EB8">
        <w:rPr>
          <w:color w:val="000000" w:themeColor="text1"/>
        </w:rPr>
        <w:t xml:space="preserve">– annak az elvnek a megfogalmazása, amely szerint az értelem a ráció ismereteinek végső forrása. </w:t>
      </w:r>
      <w:r w:rsidRPr="00FA1EB8">
        <w:rPr>
          <w:color w:val="000000" w:themeColor="text1"/>
          <w:shd w:val="clear" w:color="auto" w:fill="FFFFFF"/>
        </w:rPr>
        <w:t>Azt állította, hogy végső soron csak abban lehetünk egészen bizonyosak, hogy mi magunk létezünk, hiszen a semmi nem tudna - bármilyen téves érzetektől befolyásolva is – gondolkodni.</w:t>
      </w:r>
    </w:p>
    <w:p w:rsidR="00BE6E48" w:rsidRPr="00FA1EB8" w:rsidRDefault="00BE6E48" w:rsidP="00BE6E48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A1EB8">
        <w:rPr>
          <w:color w:val="000000" w:themeColor="text1"/>
        </w:rPr>
        <w:t xml:space="preserve">Descartes a matematikát tartotta a legtökéletesebb tudománynak. </w:t>
      </w:r>
      <w:r>
        <w:rPr>
          <w:color w:val="000000" w:themeColor="text1"/>
        </w:rPr>
        <w:t>A</w:t>
      </w:r>
      <w:r w:rsidRPr="00FA1EB8">
        <w:rPr>
          <w:color w:val="000000" w:themeColor="text1"/>
        </w:rPr>
        <w:t xml:space="preserve"> deduktív gondolkodás elsődlegességét hirdette: az általánostól kell eljutni az egyedi megismeréséhez.</w:t>
      </w:r>
    </w:p>
    <w:p w:rsidR="00BE6E48" w:rsidRPr="00FA1EB8" w:rsidRDefault="00BE6E48" w:rsidP="00BE6E48">
      <w:pPr>
        <w:spacing w:line="240" w:lineRule="auto"/>
        <w:jc w:val="both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E6E48" w:rsidRPr="00FA1EB8" w:rsidRDefault="00BE6E48" w:rsidP="00BE6E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1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másik filozófiai irányzat, amely a felvilágosodásra hatott, az empirizmus. Az empirizmus egyszerre rendszer és módszer. Az empiristák szerint a világ megismerésének egyetlen csalhatatlan módja a tapasztalati úton való megismerés. A tudós vagy gondolkodó feladata a tapasztalatok összegyűjtése és rendszerezése, ez adja a világról alkotott hiteles képet.</w:t>
      </w:r>
      <w:r w:rsidRPr="00FA1E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A827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</w:t>
      </w: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empiristák közül ki kell </w:t>
      </w:r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emelnünk </w:t>
      </w:r>
      <w:hyperlink r:id="rId5" w:tooltip="Francis Bacon" w:history="1">
        <w:r w:rsidRPr="00A82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Francis Bacon</w:t>
        </w:r>
      </w:hyperlink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 </w:t>
      </w:r>
      <w:hyperlink r:id="rId6" w:tooltip="Thomas Hobbes" w:history="1">
        <w:r w:rsidRPr="00A82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Thomas Hobbes</w:t>
        </w:r>
      </w:hyperlink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 </w:t>
      </w:r>
      <w:hyperlink r:id="rId7" w:tooltip="John Locke" w:history="1">
        <w:r w:rsidRPr="00A82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John Locke</w:t>
        </w:r>
      </w:hyperlink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 </w:t>
      </w:r>
      <w:r w:rsidRPr="00A8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David Hume" w:history="1">
        <w:r w:rsidRPr="00A82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David Hume</w:t>
        </w:r>
      </w:hyperlink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 nevét. Az empiristák legfontosabb módszertani nézete a megfigyelés elsődlegessége. Az egyes jelenségeket meg kell figyelni, minél többször, és a megfigyelés eredményei mentén kell következtetést levonni az általános jelenségről, ez az indukciós következtetés alapja. Úgy vélik, hogy lelkünk születésünkkor olyan, mint egy üres tábla, amelyre életünk során folyamatosan, az </w:t>
      </w:r>
      <w:hyperlink r:id="rId9" w:tooltip="Észlelés" w:history="1">
        <w:r w:rsidRPr="00A82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észlelésen</w:t>
        </w:r>
      </w:hyperlink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 keresztül íródnak a fogalmak, gondolatok. A tudás tehát a megfigyelésen keresztül jut el hozzánk és ez az igazság megismerésének egyetlen módja. </w:t>
      </w:r>
    </w:p>
    <w:p w:rsidR="00BE6E48" w:rsidRPr="00FA1EB8" w:rsidRDefault="00BE6E48" w:rsidP="00BE6E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6E48" w:rsidRPr="00FA1EB8" w:rsidRDefault="00BE6E48" w:rsidP="00BE6E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empirizmust és a racionalizmust előszeretettel állítják egymással szembe, de fontos kiemelni, hogy közös vonásaik is vannak. Mindkét irányzat bízik a „módszerben”, és ezáltal a </w:t>
      </w:r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tudomány</w:t>
      </w: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alapvető egységében</w:t>
      </w: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Léteznie kell a tudomány közös nyelvének, amellyel minden leírható. Továbbá, el kell hagyni a tekintélyek tiszteletét és a könyvek előtti hajbókolást. Bár módszertanuk különbözött, további közös pontja a két irányzatnak a módszertani </w:t>
      </w:r>
      <w:r w:rsidRPr="00A8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individualizmus.</w:t>
      </w: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Mindkét rendszert az elemzésben való hit </w:t>
      </w:r>
      <w:proofErr w:type="spellStart"/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jellemzi</w:t>
      </w:r>
      <w:proofErr w:type="spellEnd"/>
      <w:r w:rsidR="004C6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FA1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kérdéseket fel kell boncolni, analizálni. </w:t>
      </w:r>
    </w:p>
    <w:p w:rsidR="00BE6E48" w:rsidRDefault="00BE6E48" w:rsidP="00BE6E48">
      <w:pPr>
        <w:rPr>
          <w:rStyle w:val="Kiemels"/>
          <w:rFonts w:ascii="Arial" w:hAnsi="Arial" w:cs="Arial"/>
          <w:color w:val="0C3352"/>
          <w:sz w:val="20"/>
          <w:szCs w:val="20"/>
          <w:bdr w:val="none" w:sz="0" w:space="0" w:color="auto" w:frame="1"/>
          <w:shd w:val="clear" w:color="auto" w:fill="FFFFFF"/>
        </w:rPr>
      </w:pPr>
    </w:p>
    <w:p w:rsidR="00BE6E48" w:rsidRDefault="00BE6E48" w:rsidP="00BE6E48">
      <w:pPr>
        <w:rPr>
          <w:rStyle w:val="Kiemels"/>
          <w:rFonts w:ascii="Arial" w:hAnsi="Arial" w:cs="Arial"/>
          <w:color w:val="0C3352"/>
          <w:sz w:val="20"/>
          <w:szCs w:val="20"/>
          <w:bdr w:val="none" w:sz="0" w:space="0" w:color="auto" w:frame="1"/>
          <w:shd w:val="clear" w:color="auto" w:fill="FFFFFF"/>
        </w:rPr>
      </w:pPr>
    </w:p>
    <w:p w:rsidR="00BE6E48" w:rsidRPr="00CA27FB" w:rsidRDefault="0004345E" w:rsidP="00BE6E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3</w:t>
      </w:r>
      <w:r w:rsidR="00BE6E48" w:rsidRPr="00CA27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csoport: </w:t>
      </w:r>
      <w:r w:rsidR="00BE6E48" w:rsidRPr="005A23F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  <w:t>A felvilágosodás tudományos világképe, eredményei</w:t>
      </w:r>
    </w:p>
    <w:p w:rsidR="00BE6E48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  <w:r w:rsidRPr="00A82742">
        <w:rPr>
          <w:b/>
          <w:color w:val="000000" w:themeColor="text1"/>
        </w:rPr>
        <w:t>Olvassátok el az alábbi szöveget, értelmezzétek, húzz</w:t>
      </w:r>
      <w:r>
        <w:rPr>
          <w:b/>
          <w:color w:val="000000" w:themeColor="text1"/>
        </w:rPr>
        <w:t>átok alá és jegyzeteljétek ki</w:t>
      </w:r>
      <w:r w:rsidRPr="00A82742">
        <w:rPr>
          <w:b/>
          <w:color w:val="000000" w:themeColor="text1"/>
        </w:rPr>
        <w:t>! Továbbá készíts</w:t>
      </w:r>
      <w:r w:rsidR="004C6A16">
        <w:rPr>
          <w:b/>
          <w:color w:val="000000" w:themeColor="text1"/>
        </w:rPr>
        <w:t>e</w:t>
      </w:r>
      <w:r w:rsidRPr="00A82742">
        <w:rPr>
          <w:b/>
          <w:color w:val="000000" w:themeColor="text1"/>
        </w:rPr>
        <w:t xml:space="preserve">tek gondolattérképet, melynek segítségével bemutatjátok, </w:t>
      </w:r>
      <w:r>
        <w:rPr>
          <w:b/>
          <w:color w:val="000000" w:themeColor="text1"/>
        </w:rPr>
        <w:t>hogy a felvilágosodás korában mi jellemezte a tudományos világképet, illetve m</w:t>
      </w:r>
      <w:r w:rsidR="004C6A16">
        <w:rPr>
          <w:b/>
          <w:color w:val="000000" w:themeColor="text1"/>
        </w:rPr>
        <w:t>elyek</w:t>
      </w:r>
      <w:r>
        <w:rPr>
          <w:b/>
          <w:color w:val="000000" w:themeColor="text1"/>
        </w:rPr>
        <w:t xml:space="preserve"> voltak a főbb tudományágak</w:t>
      </w:r>
      <w:r w:rsidRPr="00A82742">
        <w:rPr>
          <w:b/>
          <w:color w:val="000000" w:themeColor="text1"/>
        </w:rPr>
        <w:t>!</w:t>
      </w:r>
    </w:p>
    <w:p w:rsidR="00BE6E48" w:rsidRPr="00CA27FB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6E48" w:rsidRPr="00CA27FB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tudományos világkép átalakulása már a földrajzi felfedezések korában megkezdődött, akkortájt terjedt 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</w:t>
      </w: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geocentrikus helyett a heliocentrikus világkép.</w:t>
      </w:r>
    </w:p>
    <w:p w:rsidR="00BE6E48" w:rsidRPr="00CA27FB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matematika, fizika és egyéb természettudományok területén már a XVII. századtól robbanásszerű fejlődés következett be. Ennek köszönhetően a korábban századokon át szajkózott dogmák összeomlottak és fokozatosan kialakult egy új, képlékenyebb, az újabb és újabb felfedezések során folyamatosan változó tudományos világkép. A tudományos világkép első változata a mechanikus világszemlélet lett. </w:t>
      </w:r>
    </w:p>
    <w:p w:rsidR="00BE6E48" w:rsidRPr="00CA27FB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újkor folyamán sorra váltak ki a filozófiából a ma ismert tudományágak, és valamennyi alapvető szemléleti fordulatot hozott a maga területén. Elsőként a fizika lett önálló tudomány, és itt következett be a leglényegesebb világnézeti fordulat is. Az akkor elterjedő leleményes óraszerkezetek mintájára az egész világot gépezetnek látták. Ezen belül gépszerűen működőnek gondolták az anyagot, az élő szervezeteket, a gondolkodást, gépalkatrészekként mozogónak a tárgyakat, a bolygókat és a csillagokat is. A mechanikus világszemlélet tudósai továbbra is Istent tartották a gépezet mozgatójának, de a működés alapelveit, a világ mechanikáját nem kinyilatkoztatásokból vagy tekintélyektől, hanem tudományos módszerekkel kívánták megismerni.</w:t>
      </w:r>
    </w:p>
    <w:p w:rsidR="00BE6E48" w:rsidRPr="00CA27FB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világ mechanikus, gépszerű szemlélete kiterjed a biológiára, kémiára, társadalomtudományra.</w:t>
      </w:r>
      <w:r w:rsidRPr="00CA27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"világ gépezet" működési elvének keresése az angol Isaac Newton tevékenységében csúcsosodott ki. </w:t>
      </w:r>
    </w:p>
    <w:p w:rsidR="00BE6E48" w:rsidRPr="00CA27FB" w:rsidRDefault="00BE6E48" w:rsidP="00BE6E48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18. században vált le a fizikáról az anyag tudománya, a kémia.</w:t>
      </w:r>
      <w:r w:rsidRPr="00CA27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orvostudomány is ekkor indult hatalmas fejlődésnek.</w:t>
      </w:r>
    </w:p>
    <w:p w:rsidR="00BE6E48" w:rsidRPr="00CA27FB" w:rsidRDefault="00BE6E48" w:rsidP="00BE6E48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7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tudomány segítségével a világ problémáit megoldhatónak látták, így különösen a természettudományok váltak jelentőssé. Az angol ipari forradalom kezdetei is ehhez köthetőek. </w:t>
      </w:r>
    </w:p>
    <w:p w:rsidR="00BE6E48" w:rsidRDefault="00BE6E48" w:rsidP="00BE6E48">
      <w:pPr>
        <w:rPr>
          <w:rStyle w:val="apple-converted-space"/>
          <w:rFonts w:ascii="Arial" w:hAnsi="Arial" w:cs="Arial"/>
          <w:color w:val="0C3352"/>
          <w:sz w:val="20"/>
          <w:szCs w:val="20"/>
          <w:shd w:val="clear" w:color="auto" w:fill="FFFFFF"/>
        </w:rPr>
      </w:pPr>
    </w:p>
    <w:p w:rsidR="00BE6E48" w:rsidRDefault="00BE6E48" w:rsidP="00BE6E48">
      <w:pPr>
        <w:rPr>
          <w:rStyle w:val="apple-converted-space"/>
          <w:rFonts w:ascii="Arial" w:hAnsi="Arial" w:cs="Arial"/>
          <w:color w:val="0C3352"/>
          <w:sz w:val="20"/>
          <w:szCs w:val="20"/>
          <w:shd w:val="clear" w:color="auto" w:fill="FFFFFF"/>
        </w:rPr>
      </w:pPr>
    </w:p>
    <w:p w:rsidR="00BE6E48" w:rsidRDefault="00BE6E48" w:rsidP="00BE6E48">
      <w:pPr>
        <w:rPr>
          <w:rStyle w:val="apple-converted-space"/>
          <w:rFonts w:ascii="Arial" w:hAnsi="Arial" w:cs="Arial"/>
          <w:color w:val="0C335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C3352"/>
          <w:sz w:val="20"/>
          <w:szCs w:val="20"/>
          <w:shd w:val="clear" w:color="auto" w:fill="FFFFFF"/>
        </w:rPr>
        <w:br w:type="page"/>
      </w:r>
    </w:p>
    <w:p w:rsidR="00BE6E48" w:rsidRDefault="0004345E" w:rsidP="00BE6E48">
      <w:pPr>
        <w:jc w:val="both"/>
        <w:rPr>
          <w:rStyle w:val="apple-converted-space"/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4.</w:t>
      </w:r>
      <w:r w:rsidR="00BE6E48" w:rsidRPr="00E3299E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csoport: </w:t>
      </w:r>
      <w:r w:rsidR="00BE6E48" w:rsidRPr="00E3299E">
        <w:rPr>
          <w:rStyle w:val="apple-converted-space"/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  <w:t xml:space="preserve">A felvilágosodás </w:t>
      </w:r>
      <w:r w:rsidR="00E81A62">
        <w:rPr>
          <w:rStyle w:val="apple-converted-space"/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  <w:t xml:space="preserve">társadalmi háttere és </w:t>
      </w:r>
      <w:r w:rsidR="00F0198A">
        <w:rPr>
          <w:rStyle w:val="apple-converted-space"/>
          <w:rFonts w:ascii="Times New Roman" w:hAnsi="Times New Roman" w:cs="Times New Roman"/>
          <w:b/>
          <w:caps/>
          <w:color w:val="000000" w:themeColor="text1"/>
          <w:sz w:val="24"/>
          <w:szCs w:val="24"/>
          <w:shd w:val="clear" w:color="auto" w:fill="FFFFFF"/>
        </w:rPr>
        <w:t>következményei</w:t>
      </w:r>
    </w:p>
    <w:p w:rsidR="000D054C" w:rsidRDefault="000D054C" w:rsidP="000D054C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b/>
          <w:color w:val="000000" w:themeColor="text1"/>
        </w:rPr>
      </w:pPr>
      <w:r w:rsidRPr="00A82742">
        <w:rPr>
          <w:b/>
          <w:color w:val="000000" w:themeColor="text1"/>
        </w:rPr>
        <w:t>Olvassátok el az alábbi szöveget, értelmezzétek, húzz</w:t>
      </w:r>
      <w:r>
        <w:rPr>
          <w:b/>
          <w:color w:val="000000" w:themeColor="text1"/>
        </w:rPr>
        <w:t>átok alá és jegyzeteljétek ki</w:t>
      </w:r>
      <w:r w:rsidRPr="00A82742">
        <w:rPr>
          <w:b/>
          <w:color w:val="000000" w:themeColor="text1"/>
        </w:rPr>
        <w:t>! Továbbá készíts</w:t>
      </w:r>
      <w:r w:rsidR="004C6A16">
        <w:rPr>
          <w:b/>
          <w:color w:val="000000" w:themeColor="text1"/>
        </w:rPr>
        <w:t>e</w:t>
      </w:r>
      <w:r w:rsidRPr="00A82742">
        <w:rPr>
          <w:b/>
          <w:color w:val="000000" w:themeColor="text1"/>
        </w:rPr>
        <w:t xml:space="preserve">tek gondolattérképet, melynek segítségével bemutatjátok, </w:t>
      </w:r>
      <w:r>
        <w:rPr>
          <w:b/>
          <w:color w:val="000000" w:themeColor="text1"/>
        </w:rPr>
        <w:t>hogy a felvilágosodás korában milyen politikai, társadalmi változások zajlottak, milyen új fogalmak jelentek meg</w:t>
      </w:r>
      <w:r w:rsidRPr="00A82742">
        <w:rPr>
          <w:b/>
          <w:color w:val="000000" w:themeColor="text1"/>
        </w:rPr>
        <w:t>!</w:t>
      </w:r>
    </w:p>
    <w:p w:rsidR="000D054C" w:rsidRPr="00E3299E" w:rsidRDefault="000D054C" w:rsidP="00BE6E48">
      <w:pPr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E6E48" w:rsidRPr="00E3299E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 w:themeColor="text1"/>
        </w:rPr>
      </w:pPr>
      <w:r w:rsidRPr="00E3299E">
        <w:rPr>
          <w:color w:val="000000" w:themeColor="text1"/>
        </w:rPr>
        <w:t>Az abszolutista társadalmi rendszer hanyatlása és vezető társadalmi rétegének (nemesség, papság) bukása, illetve hatalmának csökkenése a nyugati civilizációban a polgárság előretörését eredményezte. A világnézet, a tudomány és a kultúra a polgárság számára legmegfelelőbb törekvéseknek ad teret. Így válhat a felvilágosodás a polgárság diadalmas korszakává.</w:t>
      </w:r>
    </w:p>
    <w:p w:rsidR="00BE6E48" w:rsidRPr="00E3299E" w:rsidRDefault="00BE6E48" w:rsidP="00BE6E48">
      <w:pPr>
        <w:pStyle w:val="NormlWeb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 w:themeColor="text1"/>
        </w:rPr>
      </w:pPr>
      <w:r w:rsidRPr="00E3299E">
        <w:rPr>
          <w:color w:val="000000" w:themeColor="text1"/>
        </w:rPr>
        <w:t>A változások, amelyek a társadalmi szerkezet átalakulásához, átrendeződéséhez és a hatalmi viszonyok, szerepek új elosztásához vezettek</w:t>
      </w:r>
      <w:r w:rsidR="004C6A16">
        <w:rPr>
          <w:color w:val="000000" w:themeColor="text1"/>
        </w:rPr>
        <w:t>,</w:t>
      </w:r>
      <w:r w:rsidRPr="00E3299E">
        <w:rPr>
          <w:color w:val="000000" w:themeColor="text1"/>
        </w:rPr>
        <w:t xml:space="preserve"> az angol társadalomban indulnak meg a XVII. század közepén. A felvilágosodás előkészítője Anglia, sikerre azonban a franciák vitték, illetve a francia példa lett az irányadó az európai szellemi átrendeződés idején.</w:t>
      </w:r>
    </w:p>
    <w:p w:rsidR="00BE6E48" w:rsidRPr="00E3299E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>A politikai életben a legtöbben szükségesnek tartották a hatalmi ágak, a törvényhozói, a végrehajtói és a bírói hatalom szétválasztását. Ezt legvilágosabban Montesquieu márki fogalmazta meg.</w:t>
      </w:r>
    </w:p>
    <w:p w:rsidR="00BE6E48" w:rsidRPr="00E3299E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Fontosnak tartották az emberek közötti egyenjogúságot is.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Kiemelt szerepet kaptak az emberi jogok, melyek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alapvető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kollektív politikai és személyes szabadságjogok 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- ezek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embert természeténél fogva, emberi mivoltából kifolyólag megilletik.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Ezek közé tartoznak: 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>törvény előtti egyenlőség, szólás-, gondolat-, sajtószabadság, szabad tulajdonbirtoklás.</w:t>
      </w:r>
    </w:p>
    <w:p w:rsidR="00BE6E48" w:rsidRPr="00E3299E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Szerintük az embereknek velük született természeti jogaik vannak, ezeket mai szóhasználattal szabadságjogoknak nevezhetjük. Ezek egy részét azonban egy társadalmi szerződésben átruházták az államra, amit annak általános akaratként az egész 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rsadalom javára kell fordítania. 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társadalmi szerződést az </w:t>
      </w:r>
      <w:r w:rsidRPr="00E32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alkotmánnyal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azonosították Angliában. Franciaországban az abszolutizmus helyett új társadalmi szerződés (alkotmány) megkötésétől várták a változásokat. Szerintük a királyok hatalma nem Istentől, hanem a néptől származik. Ez a népfelség elve. Többen, pl. Locke elfogadhatónak tartották azt is, hogy a nép fellázadjon a régi társadalmi szerződést megszegő uralkodók ellen, s újat kényszerítsen ki. </w:t>
      </w:r>
    </w:p>
    <w:p w:rsidR="00BE6E48" w:rsidRPr="00E3299E" w:rsidRDefault="00BE6E48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felvilágosodás eszméi megjelentek az új alkotmányokban is, pl. az amerikai (1787, bevezetője a Függetlenségi Nyilatkozat). A francia forradalom is a felvilágosodás eszméinek a megvalósítására törekedett. Leginkább az 1791-es alkotmány bevezetőjében, </w:t>
      </w:r>
      <w:r w:rsidRPr="00E32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 Emberi és Polgári Jogok Nyilatkozatában</w:t>
      </w: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jelent meg, de a későbbi alkotmányok is erre építenek.</w:t>
      </w:r>
    </w:p>
    <w:p w:rsidR="00936AE9" w:rsidRDefault="00BE6E48" w:rsidP="006730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 forradalmi és a napóleoni háborúk a felvilágosodás gyakorlati eredményeit és eszméit Európa távolabbi vidékeire is eljuttatták és azok a polgári jogegyenlőség és az alkotmányosság megteremtésének újra és újra ösztönzőivé váltak.</w:t>
      </w:r>
    </w:p>
    <w:p w:rsidR="00BE6EB2" w:rsidRDefault="00936AE9" w:rsidP="00E81A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Megoldások és megbeszélés főbb elemei: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csoport: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A felvilágosodás eszmerendszere</w:t>
      </w:r>
    </w:p>
    <w:p w:rsidR="00936AE9" w:rsidRPr="00936AE9" w:rsidRDefault="00936AE9" w:rsidP="00936A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Értelem, logikus gondolkodás, tapasztalati megismerés középpontba állítása</w:t>
      </w:r>
    </w:p>
    <w:p w:rsidR="00936AE9" w:rsidRPr="00936AE9" w:rsidRDefault="00936AE9" w:rsidP="00936A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hagyományos intézmények, szokások, erkölcsök és egyházi hatalom kritikai megkérdőjelezése</w:t>
      </w:r>
    </w:p>
    <w:p w:rsidR="00936AE9" w:rsidRPr="00936AE9" w:rsidRDefault="00936AE9" w:rsidP="00936A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minden változik, fejlődik</w:t>
      </w:r>
    </w:p>
    <w:p w:rsidR="00936AE9" w:rsidRPr="00936AE9" w:rsidRDefault="00936AE9" w:rsidP="00936AE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Tolerancia, türelem, szabadság, egyenlőség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A felvilágosodás történelemszemlélete</w:t>
      </w:r>
    </w:p>
    <w:p w:rsidR="00936AE9" w:rsidRPr="00936AE9" w:rsidRDefault="00936AE9" w:rsidP="00936A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Történelem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értelem győzelme felé való szakadatlan előrehaladás</w:t>
      </w:r>
    </w:p>
    <w:p w:rsidR="00936AE9" w:rsidRPr="00936AE9" w:rsidRDefault="00936AE9" w:rsidP="00936A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Középkor: sötét és barbár, 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reneszánsz a „fény első </w:t>
      </w:r>
      <w:proofErr w:type="spellStart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százada</w:t>
      </w:r>
      <w:proofErr w:type="spellEnd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→ 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reneszánsz kultúra </w:t>
      </w:r>
      <w:proofErr w:type="spellStart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folytatóinak</w:t>
      </w:r>
      <w:proofErr w:type="spellEnd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tartották önmagukat</w:t>
      </w:r>
    </w:p>
    <w:p w:rsidR="00936AE9" w:rsidRPr="00936AE9" w:rsidRDefault="00936AE9" w:rsidP="00936A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Emberiség eddigi történelmét tudatlanság és babona határozta meg</w:t>
      </w:r>
    </w:p>
    <w:p w:rsidR="00936AE9" w:rsidRPr="00936AE9" w:rsidRDefault="00936AE9" w:rsidP="00936A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Cél: múlt meghaladása, fejlődés, nevelés</w:t>
      </w:r>
    </w:p>
    <w:p w:rsidR="00936AE9" w:rsidRPr="00936AE9" w:rsidRDefault="00936AE9" w:rsidP="00936A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Világ az értelem és a tudás által tökéletesedik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Emberkép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Az ember eredendően jó, tudás szellemében él → nevelés, iskola fontos: szellemi, erkölcsi és testi nevelés eszménye (</w:t>
      </w:r>
      <w:proofErr w:type="spellStart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Bildung</w:t>
      </w:r>
      <w:proofErr w:type="spellEnd"/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eszmény)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2. csoport: RACIONALIZMUS ÉS EMPIRIZMUS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ismeretelméleti módszerek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XVII. században jelen voltak, de csak XVIII. 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zázadban váltak igazán jelentőssé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legfontosabb filozófiai kérdés: hogyan tesz szert az elme a fizikai világ dolgaira vonatkozó igaz ismeretekre? Mi az ismeretek végső forrása?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racionalizmus: ismereteink értelemből fakadnak, ember természetének lényege a gondolkodás (Descartes)</w:t>
      </w:r>
    </w:p>
    <w:p w:rsidR="00936AE9" w:rsidRPr="00936AE9" w:rsidRDefault="00936AE9" w:rsidP="00936AE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empirizmus: ismereteink forrása a tapasztalat, az észlelés tévedhetetlen (Francis Bacon, John Locke)</w:t>
      </w:r>
    </w:p>
    <w:p w:rsidR="00936AE9" w:rsidRPr="00936AE9" w:rsidRDefault="00936AE9" w:rsidP="00936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AE9" w:rsidRPr="00936AE9" w:rsidRDefault="0004345E" w:rsidP="00936A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36AE9" w:rsidRPr="00936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csoport: </w:t>
      </w:r>
    </w:p>
    <w:p w:rsidR="00936AE9" w:rsidRPr="00936AE9" w:rsidRDefault="00936AE9" w:rsidP="00936AE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előzmény: földrajz felfedezések (pl. heliocentrikus világkép)</w:t>
      </w:r>
    </w:p>
    <w:p w:rsidR="00936AE9" w:rsidRPr="00936AE9" w:rsidRDefault="00936AE9" w:rsidP="00936A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Természettudományok fejlődése, többi tudományág is ezek módszerein alapult</w:t>
      </w:r>
    </w:p>
    <w:p w:rsidR="00936AE9" w:rsidRDefault="00936AE9" w:rsidP="00936A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Mechanikus világszemlélet</w:t>
      </w:r>
    </w:p>
    <w:p w:rsidR="00936AE9" w:rsidRPr="00936AE9" w:rsidRDefault="00936AE9" w:rsidP="00936AE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AE9" w:rsidRPr="00BA7381" w:rsidRDefault="0004345E" w:rsidP="00936A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36AE9" w:rsidRPr="00BA7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csoport: </w:t>
      </w:r>
    </w:p>
    <w:p w:rsidR="00936AE9" w:rsidRPr="00936AE9" w:rsidRDefault="00936AE9" w:rsidP="00936A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polgárság előretörése → polgárság diadalmas korszaka</w:t>
      </w:r>
    </w:p>
    <w:p w:rsidR="00936AE9" w:rsidRPr="00936AE9" w:rsidRDefault="00936AE9" w:rsidP="00936A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Igazságosabb társadalmi berendezkedés képzete</w:t>
      </w:r>
    </w:p>
    <w:p w:rsidR="00936AE9" w:rsidRPr="00936AE9" w:rsidRDefault="00936AE9" w:rsidP="00936A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Hatalmi ágak megosztása (Montesquieu)</w:t>
      </w:r>
    </w:p>
    <w:p w:rsidR="00936AE9" w:rsidRPr="00936AE9" w:rsidRDefault="00936AE9" w:rsidP="00936A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emberi jogok: kollektív politikai és személyes szabadságjogok (törvény előtti egyenlőség, szólás-, gondolat-, sajtószabadság, magántulajdon védelme stb.)</w:t>
      </w:r>
    </w:p>
    <w:p w:rsidR="00936AE9" w:rsidRPr="00936AE9" w:rsidRDefault="00936AE9" w:rsidP="00936AE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>Társadalmi szerződések – alkotmányok (amerikai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Függetlenségi Nyilatkozat, francia</w:t>
      </w:r>
      <w:r w:rsidR="004C6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6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Emberi és Polgári Jogok Nyilatkozata)</w:t>
      </w:r>
    </w:p>
    <w:p w:rsidR="00936AE9" w:rsidRPr="00936AE9" w:rsidRDefault="00936AE9" w:rsidP="000434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36AE9" w:rsidRPr="00936AE9" w:rsidSect="00670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9A3"/>
    <w:multiLevelType w:val="hybridMultilevel"/>
    <w:tmpl w:val="C0A86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E1B"/>
    <w:multiLevelType w:val="hybridMultilevel"/>
    <w:tmpl w:val="7CF42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435"/>
    <w:multiLevelType w:val="hybridMultilevel"/>
    <w:tmpl w:val="6D805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1EB"/>
    <w:multiLevelType w:val="hybridMultilevel"/>
    <w:tmpl w:val="133E8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D2D"/>
    <w:multiLevelType w:val="hybridMultilevel"/>
    <w:tmpl w:val="A1908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3ED"/>
    <w:multiLevelType w:val="hybridMultilevel"/>
    <w:tmpl w:val="CACA4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C15D9"/>
    <w:multiLevelType w:val="hybridMultilevel"/>
    <w:tmpl w:val="D0EC72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62AD"/>
    <w:multiLevelType w:val="hybridMultilevel"/>
    <w:tmpl w:val="8714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4472E"/>
    <w:multiLevelType w:val="hybridMultilevel"/>
    <w:tmpl w:val="CDE6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C"/>
    <w:rsid w:val="00026276"/>
    <w:rsid w:val="0004345E"/>
    <w:rsid w:val="00060650"/>
    <w:rsid w:val="00076443"/>
    <w:rsid w:val="000D054C"/>
    <w:rsid w:val="0010605C"/>
    <w:rsid w:val="0016443E"/>
    <w:rsid w:val="001B6B98"/>
    <w:rsid w:val="00237BEC"/>
    <w:rsid w:val="00330E21"/>
    <w:rsid w:val="003C1D73"/>
    <w:rsid w:val="00464CF9"/>
    <w:rsid w:val="004B4280"/>
    <w:rsid w:val="004C6A16"/>
    <w:rsid w:val="004D2AB8"/>
    <w:rsid w:val="004E78D2"/>
    <w:rsid w:val="005750D2"/>
    <w:rsid w:val="005A23FD"/>
    <w:rsid w:val="00625333"/>
    <w:rsid w:val="006631E3"/>
    <w:rsid w:val="006663AD"/>
    <w:rsid w:val="00670C6C"/>
    <w:rsid w:val="006730F2"/>
    <w:rsid w:val="00843CF2"/>
    <w:rsid w:val="008C2DC8"/>
    <w:rsid w:val="008C31E3"/>
    <w:rsid w:val="008E5024"/>
    <w:rsid w:val="00936AE9"/>
    <w:rsid w:val="009E34D6"/>
    <w:rsid w:val="00A46FC9"/>
    <w:rsid w:val="00A510C0"/>
    <w:rsid w:val="00A567C0"/>
    <w:rsid w:val="00AF2343"/>
    <w:rsid w:val="00B14F91"/>
    <w:rsid w:val="00B763DE"/>
    <w:rsid w:val="00BA7381"/>
    <w:rsid w:val="00BE6E48"/>
    <w:rsid w:val="00BE6EB2"/>
    <w:rsid w:val="00BF2A7B"/>
    <w:rsid w:val="00C67972"/>
    <w:rsid w:val="00CB401A"/>
    <w:rsid w:val="00D57215"/>
    <w:rsid w:val="00DA6590"/>
    <w:rsid w:val="00E64EA1"/>
    <w:rsid w:val="00E81A62"/>
    <w:rsid w:val="00E901E2"/>
    <w:rsid w:val="00F0198A"/>
    <w:rsid w:val="00FA3664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3171-FE5E-46BF-811F-3BFC105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C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E6E48"/>
  </w:style>
  <w:style w:type="character" w:styleId="Kiemels">
    <w:name w:val="Emphasis"/>
    <w:basedOn w:val="Bekezdsalapbettpusa"/>
    <w:uiPriority w:val="20"/>
    <w:qFormat/>
    <w:rsid w:val="00BE6E48"/>
    <w:rPr>
      <w:i/>
      <w:iCs/>
    </w:rPr>
  </w:style>
  <w:style w:type="paragraph" w:styleId="Listaszerbekezds">
    <w:name w:val="List Paragraph"/>
    <w:basedOn w:val="Norml"/>
    <w:uiPriority w:val="34"/>
    <w:qFormat/>
    <w:rsid w:val="0093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David_H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John_Lo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Thomas_Hobb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wikipedia.org/wiki/Francis_Bac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9szlel%C3%A9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1940</Words>
  <Characters>13387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Vasadi</dc:creator>
  <cp:keywords/>
  <dc:description/>
  <cp:lastModifiedBy>user</cp:lastModifiedBy>
  <cp:revision>4</cp:revision>
  <dcterms:created xsi:type="dcterms:W3CDTF">2020-01-30T10:23:00Z</dcterms:created>
  <dcterms:modified xsi:type="dcterms:W3CDTF">2020-01-30T11:21:00Z</dcterms:modified>
</cp:coreProperties>
</file>