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70" w:rsidRDefault="00365B70">
      <w:pPr>
        <w:widowControl w:val="0"/>
        <w:spacing w:after="0" w:line="276" w:lineRule="auto"/>
        <w:rPr>
          <w:rFonts w:ascii="Arial" w:eastAsia="Arial" w:hAnsi="Arial" w:cs="Arial"/>
          <w:color w:val="FF0000"/>
        </w:rPr>
      </w:pPr>
    </w:p>
    <w:tbl>
      <w:tblPr>
        <w:tblStyle w:val="a"/>
        <w:tblW w:w="1531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650"/>
        <w:gridCol w:w="1985"/>
        <w:gridCol w:w="2385"/>
        <w:gridCol w:w="1575"/>
        <w:gridCol w:w="4110"/>
        <w:gridCol w:w="1995"/>
      </w:tblGrid>
      <w:tr w:rsidR="00365B70">
        <w:trPr>
          <w:trHeight w:val="1560"/>
        </w:trPr>
        <w:tc>
          <w:tcPr>
            <w:tcW w:w="15311" w:type="dxa"/>
            <w:gridSpan w:val="7"/>
          </w:tcPr>
          <w:p w:rsidR="00365B70" w:rsidRDefault="008247EF">
            <w:r>
              <w:rPr>
                <w:b/>
              </w:rPr>
              <w:t xml:space="preserve">Az óra céljai: </w:t>
            </w:r>
            <w:r>
              <w:t>A témakörhöz kapcsolódó főbb alapfogalmak, definíciók</w:t>
            </w:r>
            <w:r>
              <w:rPr>
                <w:b/>
              </w:rPr>
              <w:t xml:space="preserve"> </w:t>
            </w:r>
            <w:r>
              <w:t>felelevenítése</w:t>
            </w:r>
            <w:r>
              <w:rPr>
                <w:b/>
              </w:rPr>
              <w:t xml:space="preserve"> </w:t>
            </w:r>
            <w:r>
              <w:t>(racionális szám, százalékszámítás, egyenes- és fordított arányosság, arányos osztás).</w:t>
            </w:r>
          </w:p>
          <w:p w:rsidR="00365B70" w:rsidRDefault="008247EF">
            <w:r>
              <w:t>A racionális számokkal végzett műveletek gyakorlása, számolási rutin fejlesztése. Pontos munkavégzés, becslés.</w:t>
            </w:r>
          </w:p>
          <w:p w:rsidR="00365B70" w:rsidRDefault="008247EF">
            <w:r>
              <w:t>A szövegértési kompetencia fejlesztése.</w:t>
            </w:r>
          </w:p>
          <w:p w:rsidR="00365B70" w:rsidRDefault="008247EF">
            <w:r>
              <w:t xml:space="preserve">Az előzetes tudásra alapozva a </w:t>
            </w:r>
            <w:proofErr w:type="gramStart"/>
            <w:r>
              <w:t>reformációról</w:t>
            </w:r>
            <w:proofErr w:type="gramEnd"/>
            <w:r>
              <w:t xml:space="preserve"> mint keresztyén ünnepről való megemlékezés.</w:t>
            </w:r>
          </w:p>
          <w:p w:rsidR="00365B70" w:rsidRDefault="008247EF">
            <w:r>
              <w:t>A csoportmunka e</w:t>
            </w:r>
            <w:r>
              <w:t>lősegíti az együttes tudásszerzést, az egymásra figyelést és a kooperatív tanulást.</w:t>
            </w:r>
          </w:p>
        </w:tc>
      </w:tr>
      <w:tr w:rsidR="00365B70">
        <w:tc>
          <w:tcPr>
            <w:tcW w:w="611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2650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1985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2385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1575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Munkaforma/</w:t>
            </w:r>
          </w:p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Módszer</w:t>
            </w:r>
          </w:p>
        </w:tc>
        <w:tc>
          <w:tcPr>
            <w:tcW w:w="4110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Tananyagok/</w:t>
            </w:r>
          </w:p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995" w:type="dxa"/>
          </w:tcPr>
          <w:p w:rsidR="00365B70" w:rsidRDefault="008247EF">
            <w:pPr>
              <w:jc w:val="center"/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365B70">
        <w:trPr>
          <w:trHeight w:val="920"/>
        </w:trPr>
        <w:tc>
          <w:tcPr>
            <w:tcW w:w="611" w:type="dxa"/>
          </w:tcPr>
          <w:p w:rsidR="00365B70" w:rsidRDefault="008247EF">
            <w:r>
              <w:t>2’</w:t>
            </w:r>
          </w:p>
        </w:tc>
        <w:tc>
          <w:tcPr>
            <w:tcW w:w="2650" w:type="dxa"/>
          </w:tcPr>
          <w:p w:rsidR="00365B70" w:rsidRDefault="008247EF">
            <w:r>
              <w:t>Előkészítés: csoportalakítás (3–4 fős).</w:t>
            </w:r>
          </w:p>
          <w:p w:rsidR="00365B70" w:rsidRDefault="00365B70"/>
        </w:tc>
        <w:tc>
          <w:tcPr>
            <w:tcW w:w="1985" w:type="dxa"/>
          </w:tcPr>
          <w:p w:rsidR="00365B70" w:rsidRDefault="008247EF">
            <w:r>
              <w:t>A tanulók kiválasztják a csapat nevét és a csapatkapitányt.</w:t>
            </w:r>
          </w:p>
        </w:tc>
        <w:tc>
          <w:tcPr>
            <w:tcW w:w="2385" w:type="dxa"/>
          </w:tcPr>
          <w:p w:rsidR="00365B70" w:rsidRDefault="008247EF">
            <w:r>
              <w:t>Az óra szabályait (amelyeket akár a gyerekekkel közösen is felállíthatunk) ismerteti a tanulókkal. Továbbá a feladatok megoldásával kapcsolatos elvárásokat (formai követelmény, mindenki mindent ír</w:t>
            </w:r>
            <w:r>
              <w:t xml:space="preserve"> a füzetébe, értékelési szempontok) megfogalmazza.</w:t>
            </w:r>
          </w:p>
        </w:tc>
        <w:tc>
          <w:tcPr>
            <w:tcW w:w="1575" w:type="dxa"/>
          </w:tcPr>
          <w:p w:rsidR="00365B70" w:rsidRDefault="008247EF">
            <w:r>
              <w:t>Frontális</w:t>
            </w:r>
          </w:p>
        </w:tc>
        <w:tc>
          <w:tcPr>
            <w:tcW w:w="4110" w:type="dxa"/>
          </w:tcPr>
          <w:p w:rsidR="00365B70" w:rsidRDefault="008247EF">
            <w:r>
              <w:t>Füzet, íróeszköz</w:t>
            </w:r>
          </w:p>
        </w:tc>
        <w:tc>
          <w:tcPr>
            <w:tcW w:w="1995" w:type="dxa"/>
          </w:tcPr>
          <w:p w:rsidR="00365B70" w:rsidRDefault="008247EF">
            <w:r>
              <w:t>A teremben az asztalok csoportmunkára alkalmas alakzatban legyenek.</w:t>
            </w:r>
          </w:p>
        </w:tc>
      </w:tr>
      <w:tr w:rsidR="00365B70">
        <w:trPr>
          <w:trHeight w:val="6180"/>
        </w:trPr>
        <w:tc>
          <w:tcPr>
            <w:tcW w:w="611" w:type="dxa"/>
          </w:tcPr>
          <w:p w:rsidR="00365B70" w:rsidRDefault="008247EF">
            <w:r>
              <w:lastRenderedPageBreak/>
              <w:t>3’</w:t>
            </w: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1099320</wp:posOffset>
                  </wp:positionV>
                  <wp:extent cx="9510813" cy="1378585"/>
                  <wp:effectExtent l="0" t="0" r="0" b="0"/>
                  <wp:wrapSquare wrapText="bothSides" distT="57150" distB="57150" distL="57150" distR="5715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813" cy="1378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0" w:type="dxa"/>
          </w:tcPr>
          <w:p w:rsidR="00365B70" w:rsidRDefault="008247EF">
            <w:proofErr w:type="spellStart"/>
            <w:r>
              <w:t>Ráhangolódás</w:t>
            </w:r>
            <w:proofErr w:type="spellEnd"/>
            <w:r>
              <w:t>:</w:t>
            </w:r>
          </w:p>
          <w:p w:rsidR="00365B70" w:rsidRDefault="008247EF">
            <w:r>
              <w:t>Célja: a fejben számolás gyakorlása.</w:t>
            </w:r>
          </w:p>
          <w:p w:rsidR="00365B70" w:rsidRDefault="008247EF">
            <w:r>
              <w:t xml:space="preserve">Versenyhelyzet teremtése; melyik csapat tudja hamarabb kirakni a </w:t>
            </w:r>
            <w:proofErr w:type="spellStart"/>
            <w:r>
              <w:t>triminót</w:t>
            </w:r>
            <w:proofErr w:type="spellEnd"/>
            <w:r>
              <w:t>?</w:t>
            </w:r>
          </w:p>
        </w:tc>
        <w:tc>
          <w:tcPr>
            <w:tcW w:w="1985" w:type="dxa"/>
          </w:tcPr>
          <w:p w:rsidR="00365B70" w:rsidRDefault="008247EF">
            <w:r>
              <w:t xml:space="preserve">Közösen kirakják a </w:t>
            </w:r>
            <w:proofErr w:type="spellStart"/>
            <w:r>
              <w:t>trimino</w:t>
            </w:r>
            <w:proofErr w:type="spellEnd"/>
            <w:r>
              <w:t xml:space="preserve"> kirakót. Kézfeltartással jelzik, ha elkészültek.</w:t>
            </w:r>
          </w:p>
        </w:tc>
        <w:tc>
          <w:tcPr>
            <w:tcW w:w="2385" w:type="dxa"/>
          </w:tcPr>
          <w:p w:rsidR="00365B70" w:rsidRDefault="008247EF">
            <w:r>
              <w:t>Figyeli a csapatok megoldási sorrendjét.</w:t>
            </w:r>
          </w:p>
        </w:tc>
        <w:tc>
          <w:tcPr>
            <w:tcW w:w="1575" w:type="dxa"/>
          </w:tcPr>
          <w:p w:rsidR="00365B70" w:rsidRDefault="008247EF">
            <w:r>
              <w:t>Kooperatív módszer – szóforgó, kerekasztal</w:t>
            </w:r>
          </w:p>
        </w:tc>
        <w:tc>
          <w:tcPr>
            <w:tcW w:w="4110" w:type="dxa"/>
          </w:tcPr>
          <w:p w:rsidR="00365B70" w:rsidRDefault="008247EF">
            <w:proofErr w:type="spellStart"/>
            <w:r>
              <w:t>Trimino</w:t>
            </w:r>
            <w:proofErr w:type="spellEnd"/>
            <w:r>
              <w:t xml:space="preserve"> kirakó</w:t>
            </w:r>
          </w:p>
          <w:p w:rsidR="00365B70" w:rsidRDefault="008247EF">
            <w:r>
              <w:t xml:space="preserve">Az 1. </w:t>
            </w:r>
            <w:r>
              <w:t>sz. mellékletben nyomtatható formában.</w:t>
            </w:r>
          </w:p>
          <w:p w:rsidR="00365B70" w:rsidRDefault="008247EF">
            <w:r>
              <w:rPr>
                <w:noProof/>
              </w:rPr>
              <w:drawing>
                <wp:inline distT="114300" distB="114300" distL="114300" distR="114300">
                  <wp:extent cx="1034909" cy="1715587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09" cy="1715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65B70" w:rsidRDefault="00365B70"/>
          <w:p w:rsidR="00365B70" w:rsidRDefault="008247EF">
            <w:r>
              <w:t>Megoldás:</w:t>
            </w:r>
          </w:p>
          <w:p w:rsidR="00365B70" w:rsidRDefault="008247EF">
            <w:pPr>
              <w:spacing w:after="160" w:line="259" w:lineRule="auto"/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1516909" cy="1241107"/>
                  <wp:effectExtent l="0" t="0" r="0" b="0"/>
                  <wp:docPr id="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r="11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09" cy="1241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365B70" w:rsidRDefault="008247EF">
            <w:r>
              <w:t>A játék lényege: ha a kis háromszögeket helyesen illesztjük össze (jól párosítjuk az oldalaikon lévő műveleteket és eredményeket), akkor egy nagy háromszöget kapunk.</w:t>
            </w:r>
          </w:p>
          <w:p w:rsidR="00365B70" w:rsidRDefault="008247EF">
            <w:r>
              <w:t xml:space="preserve">A feladat megoldásánál alkalmazható </w:t>
            </w:r>
            <w:r>
              <w:t>szóforgó: a csoport tagjai szétosztják a kis háromszögeket és sorban, az óramutató járásával egyező irányban,</w:t>
            </w:r>
          </w:p>
          <w:p w:rsidR="00365B70" w:rsidRDefault="008247EF">
            <w:r>
              <w:t>a saját kis háromszögüket beillesztik a megfelelő helyre.</w:t>
            </w:r>
          </w:p>
          <w:p w:rsidR="00365B70" w:rsidRDefault="00365B70"/>
          <w:p w:rsidR="00365B70" w:rsidRDefault="00365B70"/>
          <w:p w:rsidR="00365B70" w:rsidRDefault="00365B70"/>
          <w:p w:rsidR="00365B70" w:rsidRDefault="00365B70"/>
        </w:tc>
      </w:tr>
      <w:tr w:rsidR="00365B70">
        <w:trPr>
          <w:trHeight w:val="920"/>
        </w:trPr>
        <w:tc>
          <w:tcPr>
            <w:tcW w:w="611" w:type="dxa"/>
          </w:tcPr>
          <w:p w:rsidR="00365B70" w:rsidRDefault="008247EF">
            <w:r>
              <w:lastRenderedPageBreak/>
              <w:t>6’</w:t>
            </w:r>
          </w:p>
        </w:tc>
        <w:tc>
          <w:tcPr>
            <w:tcW w:w="2650" w:type="dxa"/>
            <w:tcBorders>
              <w:bottom w:val="single" w:sz="4" w:space="0" w:color="38761D"/>
            </w:tcBorders>
          </w:tcPr>
          <w:p w:rsidR="00365B70" w:rsidRDefault="008247EF">
            <w:bookmarkStart w:id="1" w:name="_GoBack"/>
            <w:r>
              <w:t>Kere</w:t>
            </w:r>
            <w:bookmarkEnd w:id="1"/>
            <w:r>
              <w:t>sztrejtvény</w:t>
            </w:r>
          </w:p>
          <w:p w:rsidR="00365B70" w:rsidRDefault="008247EF">
            <w:r>
              <w:t>Célja: motiválás, a reformációval kapcsolatos ismeretek aktiválása.</w:t>
            </w:r>
          </w:p>
          <w:p w:rsidR="00365B70" w:rsidRDefault="008247EF">
            <w:r>
              <w:t>Hallás utáni szövegértés fejlesztése, a témához kapcsolódó kulcsfogalmak ismétlése.</w:t>
            </w:r>
          </w:p>
        </w:tc>
        <w:tc>
          <w:tcPr>
            <w:tcW w:w="1985" w:type="dxa"/>
          </w:tcPr>
          <w:p w:rsidR="00365B70" w:rsidRDefault="008247EF">
            <w:r>
              <w:t>Az interaktív táblánál minden csapatból egy képviselő beírja a helyes megfejtést.</w:t>
            </w:r>
          </w:p>
        </w:tc>
        <w:tc>
          <w:tcPr>
            <w:tcW w:w="2385" w:type="dxa"/>
          </w:tcPr>
          <w:p w:rsidR="00365B70" w:rsidRDefault="008247EF">
            <w:r>
              <w:t>Irányítja a tevékenysé</w:t>
            </w:r>
            <w:r>
              <w:t>get.</w:t>
            </w:r>
          </w:p>
        </w:tc>
        <w:tc>
          <w:tcPr>
            <w:tcW w:w="1575" w:type="dxa"/>
          </w:tcPr>
          <w:p w:rsidR="00365B70" w:rsidRDefault="008247EF">
            <w:r>
              <w:t>Egyéni</w:t>
            </w:r>
          </w:p>
        </w:tc>
        <w:tc>
          <w:tcPr>
            <w:tcW w:w="4110" w:type="dxa"/>
          </w:tcPr>
          <w:p w:rsidR="00365B70" w:rsidRDefault="008247EF">
            <w:r>
              <w:rPr>
                <w:noProof/>
              </w:rPr>
              <w:drawing>
                <wp:inline distT="114300" distB="114300" distL="114300" distR="114300">
                  <wp:extent cx="1484051" cy="726757"/>
                  <wp:effectExtent l="0" t="0" r="0" b="0"/>
                  <wp:docPr id="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51" cy="726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65B70" w:rsidRDefault="008247EF">
            <w:r>
              <w:t xml:space="preserve">Interaktív tábla </w:t>
            </w:r>
          </w:p>
          <w:p w:rsidR="00365B70" w:rsidRDefault="008247EF">
            <w:r>
              <w:t>1. tankocka</w:t>
            </w:r>
          </w:p>
          <w:p w:rsidR="00365B70" w:rsidRDefault="008247EF">
            <w:r>
              <w:t>2. sz. mellékletben a meghatározások.</w:t>
            </w:r>
          </w:p>
        </w:tc>
        <w:tc>
          <w:tcPr>
            <w:tcW w:w="1995" w:type="dxa"/>
          </w:tcPr>
          <w:p w:rsidR="00365B70" w:rsidRDefault="008247EF">
            <w:pPr>
              <w:spacing w:after="40"/>
              <w:ind w:left="282"/>
            </w:pPr>
            <w:proofErr w:type="spellStart"/>
            <w:r>
              <w:t>Learningapps</w:t>
            </w:r>
            <w:proofErr w:type="spellEnd"/>
            <w:r>
              <w:rPr>
                <w:b/>
              </w:rPr>
              <w:t xml:space="preserve"> </w:t>
            </w:r>
          </w:p>
          <w:p w:rsidR="00365B70" w:rsidRDefault="008247EF">
            <w:pPr>
              <w:spacing w:after="40"/>
              <w:ind w:left="282"/>
            </w:pPr>
            <w:r>
              <w:t>(keresztrejtvény)</w:t>
            </w:r>
          </w:p>
          <w:p w:rsidR="00365B70" w:rsidRDefault="008247EF">
            <w:pPr>
              <w:spacing w:after="160" w:line="259" w:lineRule="auto"/>
              <w:ind w:left="282"/>
            </w:pPr>
            <w:r>
              <w:t>A 2. számú mellékletben látható a matematikai tartalom, amely a témához kapcsolódó matematikai fogalmakat jelöl.</w:t>
            </w:r>
          </w:p>
        </w:tc>
      </w:tr>
      <w:tr w:rsidR="00365B70">
        <w:trPr>
          <w:trHeight w:val="560"/>
        </w:trPr>
        <w:tc>
          <w:tcPr>
            <w:tcW w:w="611" w:type="dxa"/>
            <w:vMerge w:val="restart"/>
            <w:tcBorders>
              <w:right w:val="single" w:sz="4" w:space="0" w:color="38761D"/>
            </w:tcBorders>
          </w:tcPr>
          <w:p w:rsidR="00365B70" w:rsidRDefault="008247EF">
            <w:r>
              <w:t>15’</w:t>
            </w:r>
          </w:p>
        </w:tc>
        <w:tc>
          <w:tcPr>
            <w:tcW w:w="265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365B70" w:rsidRDefault="008247EF">
            <w:r>
              <w:t>Bemelegítő feladatok:</w:t>
            </w:r>
          </w:p>
          <w:p w:rsidR="00365B70" w:rsidRDefault="008247EF">
            <w:r>
              <w:t>számfeladatok megoldása.</w:t>
            </w:r>
          </w:p>
          <w:p w:rsidR="00365B70" w:rsidRDefault="008247EF">
            <w:r>
              <w:t>Célja: a számolási rutin fejlesztése, műveletek sorrendjének figyelembevételével.</w:t>
            </w:r>
          </w:p>
          <w:p w:rsidR="00365B70" w:rsidRDefault="008247EF">
            <w:r>
              <w:t>Az eredmények a reformációhoz kötődő évszámok, adatok.</w:t>
            </w:r>
          </w:p>
        </w:tc>
        <w:tc>
          <w:tcPr>
            <w:tcW w:w="1985" w:type="dxa"/>
            <w:tcBorders>
              <w:left w:val="single" w:sz="4" w:space="0" w:color="38761D"/>
            </w:tcBorders>
          </w:tcPr>
          <w:p w:rsidR="00365B70" w:rsidRDefault="008247EF">
            <w:r>
              <w:t>Minden tanuló kiszámolja a saját számfeladatát. Beragasztja a füzetbe, az eredményeket kerekít</w:t>
            </w:r>
            <w:r>
              <w:t>i tízesre, annak érdekében, hogy a számegyenesen könnyebb legyen bejelölni.</w:t>
            </w:r>
          </w:p>
        </w:tc>
        <w:tc>
          <w:tcPr>
            <w:tcW w:w="2385" w:type="dxa"/>
          </w:tcPr>
          <w:p w:rsidR="00365B70" w:rsidRDefault="008247EF">
            <w:r>
              <w:t>Kiosztja az előre elkészített feladatokat úgy, hogy minden csapattag különböző feladatot kapjon.</w:t>
            </w:r>
          </w:p>
        </w:tc>
        <w:tc>
          <w:tcPr>
            <w:tcW w:w="1575" w:type="dxa"/>
          </w:tcPr>
          <w:p w:rsidR="00365B70" w:rsidRDefault="008247EF">
            <w:r>
              <w:t xml:space="preserve">Feladatmegosztásos csoportmunka első szakasza: </w:t>
            </w:r>
          </w:p>
          <w:p w:rsidR="00365B70" w:rsidRDefault="008247EF">
            <w:r>
              <w:t>megoldás.</w:t>
            </w:r>
          </w:p>
        </w:tc>
        <w:tc>
          <w:tcPr>
            <w:tcW w:w="4110" w:type="dxa"/>
          </w:tcPr>
          <w:p w:rsidR="00365B70" w:rsidRDefault="008247EF">
            <w:pPr>
              <w:rPr>
                <w:b/>
              </w:rPr>
            </w:pPr>
            <w:r>
              <w:rPr>
                <w:b/>
              </w:rPr>
              <w:t>Számfeladatok:</w:t>
            </w:r>
          </w:p>
          <w:p w:rsidR="00365B70" w:rsidRDefault="008247EF">
            <w:r>
              <w:rPr>
                <w:b/>
              </w:rPr>
              <w:t xml:space="preserve">1. </w:t>
            </w:r>
            <w:r>
              <w:t>(4</w:t>
            </w:r>
            <w:r>
              <w:rPr>
                <w:vertAlign w:val="superscript"/>
              </w:rPr>
              <w:t xml:space="preserve">3 </w:t>
            </w:r>
            <w:r>
              <w:t>−</w:t>
            </w:r>
            <w:r>
              <w:t xml:space="preserve"> 3</w:t>
            </w:r>
            <w:r>
              <w:t>,32) × 25 =</w:t>
            </w:r>
          </w:p>
          <w:p w:rsidR="00365B70" w:rsidRDefault="008247EF">
            <w:r>
              <w:t>=</w:t>
            </w:r>
            <w:r>
              <w:rPr>
                <w:b/>
              </w:rPr>
              <w:t xml:space="preserve"> </w:t>
            </w:r>
            <w:r>
              <w:t>(64 − 3,32) × 25 = 60,68 × 25 = 1517</w:t>
            </w:r>
          </w:p>
          <w:p w:rsidR="00365B70" w:rsidRDefault="008247EF">
            <w:r>
              <w:rPr>
                <w:b/>
              </w:rPr>
              <w:t>2.</w:t>
            </w:r>
            <w:r>
              <w:t xml:space="preserve"> 20,25 × 4</w:t>
            </w:r>
            <w:r>
              <w:rPr>
                <w:vertAlign w:val="superscript"/>
              </w:rPr>
              <w:t xml:space="preserve">2  </w:t>
            </w:r>
            <w:r>
              <w:t>+ 1159 = 20,25 × 16 + 1159 =</w:t>
            </w:r>
          </w:p>
          <w:p w:rsidR="00365B70" w:rsidRDefault="008247EF">
            <w:r>
              <w:t>= 324 + 1159 = 1438</w:t>
            </w:r>
          </w:p>
          <w:p w:rsidR="00365B70" w:rsidRDefault="008247EF">
            <w:r>
              <w:rPr>
                <w:b/>
              </w:rPr>
              <w:t xml:space="preserve">3. </w:t>
            </w:r>
            <w:r>
              <w:t>3169,51 − 60,13 × 3</w:t>
            </w:r>
            <w:r>
              <w:rPr>
                <w:vertAlign w:val="superscript"/>
              </w:rPr>
              <w:t xml:space="preserve">3  </w:t>
            </w:r>
            <w:r>
              <w:t>=</w:t>
            </w:r>
          </w:p>
          <w:p w:rsidR="00365B70" w:rsidRDefault="008247EF">
            <w:r>
              <w:t xml:space="preserve">= 3169,51 – 60,13 × 27 = </w:t>
            </w:r>
          </w:p>
          <w:p w:rsidR="00365B70" w:rsidRDefault="008247EF">
            <w:r>
              <w:t>= 3169,51 − 1623,51 = 1546</w:t>
            </w:r>
          </w:p>
          <w:p w:rsidR="00365B70" w:rsidRDefault="008247EF">
            <w:bookmarkStart w:id="2" w:name="_30j0zll" w:colFirst="0" w:colLast="0"/>
            <w:bookmarkEnd w:id="2"/>
            <w:r>
              <w:rPr>
                <w:b/>
              </w:rPr>
              <w:t>4.</w:t>
            </w:r>
            <w:r>
              <w:t xml:space="preserve"> 7</w:t>
            </w:r>
            <w:r>
              <w:rPr>
                <w:vertAlign w:val="superscript"/>
              </w:rPr>
              <w:t xml:space="preserve">2  </w:t>
            </w:r>
            <w:r>
              <w:t>×</w:t>
            </w:r>
            <w:r>
              <w:rPr>
                <w:vertAlign w:val="superscript"/>
              </w:rPr>
              <w:t xml:space="preserve"> </w:t>
            </w:r>
            <w:r>
              <w:t xml:space="preserve"> 15,16 + 766,16 = 49 × 15,16 + 766,16 =</w:t>
            </w:r>
          </w:p>
          <w:p w:rsidR="00365B70" w:rsidRDefault="008247EF">
            <w:r>
              <w:t>= 742,84 + 766,16 = 1509</w:t>
            </w:r>
          </w:p>
          <w:p w:rsidR="00365B70" w:rsidRDefault="008247EF">
            <w:r>
              <w:rPr>
                <w:b/>
              </w:rPr>
              <w:t>5.</w:t>
            </w:r>
            <w:r>
              <w:t xml:space="preserve"> 2284 − 8</w:t>
            </w:r>
            <w:r>
              <w:rPr>
                <w:vertAlign w:val="superscript"/>
              </w:rPr>
              <w:t xml:space="preserve">2  </w:t>
            </w:r>
            <w:r>
              <w:t>× 11,25 = 2284 − 64 × 11,25 =</w:t>
            </w:r>
          </w:p>
          <w:p w:rsidR="00365B70" w:rsidRDefault="008247EF">
            <w:r>
              <w:t>= 2284 − 720 = 1564</w:t>
            </w:r>
          </w:p>
          <w:p w:rsidR="00365B70" w:rsidRDefault="008247EF">
            <w:pPr>
              <w:rPr>
                <w:color w:val="0070C0"/>
              </w:rPr>
            </w:pPr>
            <w:r>
              <w:t>3. sz. mellékletben nyomtatható formában.</w:t>
            </w:r>
          </w:p>
        </w:tc>
        <w:tc>
          <w:tcPr>
            <w:tcW w:w="1995" w:type="dxa"/>
          </w:tcPr>
          <w:p w:rsidR="00365B70" w:rsidRDefault="008247EF">
            <w:r>
              <w:t>Differenciálás: a jobb képességű gyerekeknek több feladatot is adhatunk.</w:t>
            </w:r>
          </w:p>
        </w:tc>
      </w:tr>
      <w:tr w:rsidR="00365B70">
        <w:trPr>
          <w:trHeight w:val="920"/>
        </w:trPr>
        <w:tc>
          <w:tcPr>
            <w:tcW w:w="611" w:type="dxa"/>
            <w:vMerge/>
            <w:tcBorders>
              <w:right w:val="single" w:sz="4" w:space="0" w:color="38761D"/>
            </w:tcBorders>
          </w:tcPr>
          <w:p w:rsidR="00365B70" w:rsidRDefault="00365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0" w:type="dxa"/>
            <w:tcBorders>
              <w:top w:val="single" w:sz="4" w:space="0" w:color="38761D"/>
            </w:tcBorders>
          </w:tcPr>
          <w:p w:rsidR="00365B70" w:rsidRDefault="008247EF">
            <w:r>
              <w:t>Számegyenes:</w:t>
            </w:r>
          </w:p>
          <w:p w:rsidR="00365B70" w:rsidRDefault="008247EF">
            <w:r>
              <w:t xml:space="preserve">Az előző számfeladatok eredményeinek összesítése, </w:t>
            </w:r>
            <w:r>
              <w:lastRenderedPageBreak/>
              <w:t>egyháztörténeti vonatkozásban milyen adatokat jelölnek.</w:t>
            </w:r>
          </w:p>
          <w:p w:rsidR="00365B70" w:rsidRDefault="008247EF">
            <w:r>
              <w:t>Célja: a számegyenesen való tájékozódás fejlesztése.</w:t>
            </w:r>
          </w:p>
        </w:tc>
        <w:tc>
          <w:tcPr>
            <w:tcW w:w="1985" w:type="dxa"/>
          </w:tcPr>
          <w:p w:rsidR="00365B70" w:rsidRDefault="008247EF">
            <w:r>
              <w:lastRenderedPageBreak/>
              <w:t xml:space="preserve">A kapott számegyenest beragasztják a füzetbe. Bejelölik a </w:t>
            </w:r>
            <w:r>
              <w:lastRenderedPageBreak/>
              <w:t>számvonalon az eredmények közelítő érté</w:t>
            </w:r>
            <w:r>
              <w:t>két.</w:t>
            </w:r>
          </w:p>
          <w:p w:rsidR="00365B70" w:rsidRDefault="00365B70"/>
        </w:tc>
        <w:tc>
          <w:tcPr>
            <w:tcW w:w="2385" w:type="dxa"/>
          </w:tcPr>
          <w:p w:rsidR="00365B70" w:rsidRDefault="008247EF">
            <w:r>
              <w:lastRenderedPageBreak/>
              <w:t>Kiosztja a számegyeneseket. Ellenőrzi a csapatok munkáját.</w:t>
            </w:r>
          </w:p>
        </w:tc>
        <w:tc>
          <w:tcPr>
            <w:tcW w:w="1575" w:type="dxa"/>
          </w:tcPr>
          <w:p w:rsidR="00365B70" w:rsidRDefault="008247EF">
            <w:r>
              <w:t xml:space="preserve">A feladatmegosztásos csoportmunka </w:t>
            </w:r>
            <w:r>
              <w:lastRenderedPageBreak/>
              <w:t>második szakasza: megosztás.</w:t>
            </w:r>
          </w:p>
        </w:tc>
        <w:tc>
          <w:tcPr>
            <w:tcW w:w="6105" w:type="dxa"/>
            <w:gridSpan w:val="2"/>
          </w:tcPr>
          <w:p w:rsidR="00365B70" w:rsidRDefault="00365B70">
            <w:pPr>
              <w:rPr>
                <w:b/>
              </w:rPr>
            </w:pPr>
          </w:p>
          <w:p w:rsidR="00365B70" w:rsidRDefault="008247EF">
            <w:pPr>
              <w:rPr>
                <w:b/>
              </w:rPr>
            </w:pPr>
            <w:r>
              <w:rPr>
                <w:b/>
              </w:rPr>
              <w:t>Számegyenes:</w:t>
            </w:r>
          </w:p>
          <w:p w:rsidR="00365B70" w:rsidRDefault="008247EF">
            <w:pPr>
              <w:tabs>
                <w:tab w:val="left" w:pos="9639"/>
                <w:tab w:val="lef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┼</w:t>
            </w:r>
            <w:r>
              <w:rPr>
                <w:sz w:val="20"/>
                <w:szCs w:val="20"/>
              </w:rPr>
              <w:t>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┼</w:t>
            </w:r>
            <w:r>
              <w:rPr>
                <w:sz w:val="20"/>
                <w:szCs w:val="20"/>
              </w:rPr>
              <w:t>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</w:t>
            </w:r>
            <w:r>
              <w:rPr>
                <w:rFonts w:ascii="Arial" w:eastAsia="Arial" w:hAnsi="Arial" w:cs="Arial"/>
                <w:sz w:val="20"/>
                <w:szCs w:val="20"/>
              </w:rPr>
              <w:t>┼</w:t>
            </w:r>
            <w:r>
              <w:rPr>
                <w:sz w:val="20"/>
                <w:szCs w:val="20"/>
              </w:rPr>
              <w:t>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──</w:t>
            </w:r>
            <w:r>
              <w:rPr>
                <w:rFonts w:ascii="Arial" w:eastAsia="Arial" w:hAnsi="Arial" w:cs="Arial"/>
                <w:sz w:val="20"/>
                <w:szCs w:val="20"/>
              </w:rPr>
              <w:t>┼</w:t>
            </w:r>
            <w:r>
              <w:rPr>
                <w:sz w:val="20"/>
                <w:szCs w:val="20"/>
              </w:rPr>
              <w:t>─</w:t>
            </w:r>
            <w:r>
              <w:rPr>
                <w:rFonts w:ascii="Arial" w:eastAsia="Arial" w:hAnsi="Arial" w:cs="Arial"/>
                <w:sz w:val="20"/>
                <w:szCs w:val="20"/>
              </w:rPr>
              <w:t>┬</w:t>
            </w:r>
            <w:r>
              <w:rPr>
                <w:sz w:val="20"/>
                <w:szCs w:val="20"/>
              </w:rPr>
              <w:t>─&gt;</w:t>
            </w:r>
          </w:p>
          <w:p w:rsidR="00365B70" w:rsidRDefault="008247EF">
            <w:r>
              <w:t xml:space="preserve">     1400</w:t>
            </w:r>
            <w:r>
              <w:tab/>
              <w:t xml:space="preserve">                    1450</w:t>
            </w:r>
            <w:r>
              <w:tab/>
              <w:t xml:space="preserve">       1500</w:t>
            </w:r>
            <w:r>
              <w:tab/>
              <w:t xml:space="preserve">         1550</w:t>
            </w:r>
          </w:p>
          <w:p w:rsidR="00365B70" w:rsidRDefault="008247EF">
            <w:r>
              <w:t xml:space="preserve"> </w:t>
            </w:r>
          </w:p>
          <w:p w:rsidR="00365B70" w:rsidRDefault="008247EF">
            <w:r>
              <w:lastRenderedPageBreak/>
              <w:t>4.</w:t>
            </w:r>
            <w:r>
              <w:t xml:space="preserve"> sz. mellékletben nyomtatható formában.</w:t>
            </w:r>
          </w:p>
        </w:tc>
      </w:tr>
      <w:tr w:rsidR="00365B70">
        <w:trPr>
          <w:trHeight w:val="920"/>
        </w:trPr>
        <w:tc>
          <w:tcPr>
            <w:tcW w:w="611" w:type="dxa"/>
            <w:vMerge/>
            <w:tcBorders>
              <w:right w:val="single" w:sz="4" w:space="0" w:color="38761D"/>
            </w:tcBorders>
          </w:tcPr>
          <w:p w:rsidR="00365B70" w:rsidRDefault="00365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0" w:type="dxa"/>
          </w:tcPr>
          <w:p w:rsidR="00365B70" w:rsidRDefault="008247EF">
            <w:r>
              <w:t>Részellenőrzés</w:t>
            </w:r>
          </w:p>
        </w:tc>
        <w:tc>
          <w:tcPr>
            <w:tcW w:w="1985" w:type="dxa"/>
          </w:tcPr>
          <w:p w:rsidR="00365B70" w:rsidRDefault="008247EF">
            <w:r>
              <w:t>Interaktív táblánál minden csapatból egy képviselő bejelöl egy-egy megoldást.</w:t>
            </w:r>
          </w:p>
          <w:p w:rsidR="00365B70" w:rsidRDefault="008247EF">
            <w:r>
              <w:t>A többiek javítják a saját feladatukat, illetve bejelölik a hiányzó számokat.</w:t>
            </w:r>
          </w:p>
        </w:tc>
        <w:tc>
          <w:tcPr>
            <w:tcW w:w="2385" w:type="dxa"/>
          </w:tcPr>
          <w:p w:rsidR="00365B70" w:rsidRDefault="008247EF">
            <w:r>
              <w:t>Koordinálja a tevékenységet.</w:t>
            </w:r>
          </w:p>
        </w:tc>
        <w:tc>
          <w:tcPr>
            <w:tcW w:w="1575" w:type="dxa"/>
          </w:tcPr>
          <w:p w:rsidR="00365B70" w:rsidRDefault="008247EF">
            <w:r>
              <w:t xml:space="preserve">A feladatmegosztásos csoportmunka harmadik szakasza: </w:t>
            </w:r>
          </w:p>
          <w:p w:rsidR="00365B70" w:rsidRDefault="008247EF">
            <w:r>
              <w:t>prezentálás.</w:t>
            </w:r>
          </w:p>
        </w:tc>
        <w:tc>
          <w:tcPr>
            <w:tcW w:w="4110" w:type="dxa"/>
          </w:tcPr>
          <w:p w:rsidR="00365B70" w:rsidRDefault="008247EF">
            <w:r>
              <w:rPr>
                <w:noProof/>
              </w:rPr>
              <w:drawing>
                <wp:inline distT="114300" distB="114300" distL="114300" distR="114300">
                  <wp:extent cx="1248092" cy="713951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92" cy="713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65B70" w:rsidRDefault="008247EF">
            <w:r>
              <w:t>Interaktív tábla</w:t>
            </w:r>
          </w:p>
          <w:p w:rsidR="00365B70" w:rsidRDefault="008247EF">
            <w:r>
              <w:t>2. tankocka</w:t>
            </w:r>
          </w:p>
        </w:tc>
        <w:tc>
          <w:tcPr>
            <w:tcW w:w="1995" w:type="dxa"/>
          </w:tcPr>
          <w:p w:rsidR="00365B70" w:rsidRDefault="008247EF">
            <w:proofErr w:type="spellStart"/>
            <w:r>
              <w:t>Learningapps</w:t>
            </w:r>
            <w:proofErr w:type="spellEnd"/>
            <w:r>
              <w:t xml:space="preserve"> (idővonal).</w:t>
            </w:r>
          </w:p>
          <w:p w:rsidR="00365B70" w:rsidRDefault="008247EF">
            <w:r>
              <w:t>A tankocka az évszámokhoz kapcsolódó eseményeket is tartalmazza.</w:t>
            </w:r>
          </w:p>
          <w:p w:rsidR="00365B70" w:rsidRDefault="00365B70">
            <w:pPr>
              <w:rPr>
                <w:color w:val="FF0000"/>
              </w:rPr>
            </w:pPr>
          </w:p>
        </w:tc>
      </w:tr>
      <w:tr w:rsidR="00365B70">
        <w:trPr>
          <w:trHeight w:val="920"/>
        </w:trPr>
        <w:tc>
          <w:tcPr>
            <w:tcW w:w="611" w:type="dxa"/>
          </w:tcPr>
          <w:p w:rsidR="00365B70" w:rsidRDefault="008247EF">
            <w:r>
              <w:t>7’</w:t>
            </w:r>
          </w:p>
        </w:tc>
        <w:tc>
          <w:tcPr>
            <w:tcW w:w="2650" w:type="dxa"/>
          </w:tcPr>
          <w:p w:rsidR="00365B70" w:rsidRDefault="008247EF">
            <w:r>
              <w:t>Szöveges feladatok megoldása.</w:t>
            </w:r>
          </w:p>
          <w:p w:rsidR="00365B70" w:rsidRDefault="008247EF">
            <w:r>
              <w:t>Cél: a szövegértés és a reformációhoz kapcsolódó ismeretek bővítése. Meglévő ismeretek aktiválása.</w:t>
            </w:r>
          </w:p>
        </w:tc>
        <w:tc>
          <w:tcPr>
            <w:tcW w:w="1985" w:type="dxa"/>
          </w:tcPr>
          <w:p w:rsidR="00365B70" w:rsidRDefault="008247EF">
            <w:r>
              <w:t>Megoldják a szöveges feladatot a tanultak szerint. Kigyűjtik az adatokat, tervet készítenek, becslést végeznek, kiszámolják, és szöveges választ írnak a kérd</w:t>
            </w:r>
            <w:r>
              <w:t>ésre.</w:t>
            </w:r>
          </w:p>
        </w:tc>
        <w:tc>
          <w:tcPr>
            <w:tcW w:w="2385" w:type="dxa"/>
          </w:tcPr>
          <w:p w:rsidR="00365B70" w:rsidRDefault="008247EF">
            <w:r>
              <w:t>Támogatja, segíti a tevékenységet, ha szükséges. Ellenőrzi a gyerekek munkavégzését.</w:t>
            </w:r>
          </w:p>
          <w:p w:rsidR="00365B70" w:rsidRDefault="00365B70">
            <w:pPr>
              <w:rPr>
                <w:color w:val="A64D79"/>
              </w:rPr>
            </w:pPr>
          </w:p>
        </w:tc>
        <w:tc>
          <w:tcPr>
            <w:tcW w:w="1575" w:type="dxa"/>
          </w:tcPr>
          <w:p w:rsidR="00365B70" w:rsidRDefault="008247EF">
            <w:r>
              <w:t>Páros munka</w:t>
            </w:r>
          </w:p>
          <w:p w:rsidR="00365B70" w:rsidRDefault="00365B70">
            <w:pPr>
              <w:rPr>
                <w:color w:val="A64D79"/>
              </w:rPr>
            </w:pPr>
          </w:p>
        </w:tc>
        <w:tc>
          <w:tcPr>
            <w:tcW w:w="4110" w:type="dxa"/>
          </w:tcPr>
          <w:p w:rsidR="00365B70" w:rsidRDefault="008247EF">
            <w:r>
              <w:t>Előre megírt szöveges feladatok</w:t>
            </w:r>
          </w:p>
          <w:p w:rsidR="00365B70" w:rsidRDefault="008247EF">
            <w:r>
              <w:t>5. sz. mellékletben megoldással együtt.</w:t>
            </w:r>
          </w:p>
        </w:tc>
        <w:tc>
          <w:tcPr>
            <w:tcW w:w="1995" w:type="dxa"/>
          </w:tcPr>
          <w:p w:rsidR="00365B70" w:rsidRDefault="008247EF">
            <w:r>
              <w:t>A hat különböző feladatból minden párnak jut egy-egy, amelyet úgy is szétosztha</w:t>
            </w:r>
            <w:r>
              <w:t>tunk, hogy az előre elkészített, megfelelő mennyiségű feladatokból minden pár húz egyet.</w:t>
            </w:r>
          </w:p>
          <w:p w:rsidR="00365B70" w:rsidRDefault="008247EF">
            <w:r>
              <w:t xml:space="preserve">Gyengébb csoportban a feladat </w:t>
            </w:r>
            <w:proofErr w:type="spellStart"/>
            <w:r>
              <w:t>itemenkénti</w:t>
            </w:r>
            <w:proofErr w:type="spellEnd"/>
            <w:r>
              <w:t xml:space="preserve"> feldolgozása javasolt.</w:t>
            </w:r>
          </w:p>
        </w:tc>
      </w:tr>
      <w:tr w:rsidR="00365B70">
        <w:trPr>
          <w:trHeight w:val="920"/>
        </w:trPr>
        <w:tc>
          <w:tcPr>
            <w:tcW w:w="611" w:type="dxa"/>
          </w:tcPr>
          <w:p w:rsidR="00365B70" w:rsidRDefault="008247EF">
            <w:r>
              <w:lastRenderedPageBreak/>
              <w:t>4’</w:t>
            </w:r>
          </w:p>
        </w:tc>
        <w:tc>
          <w:tcPr>
            <w:tcW w:w="2650" w:type="dxa"/>
          </w:tcPr>
          <w:p w:rsidR="00365B70" w:rsidRDefault="008247EF">
            <w:r>
              <w:t>Jutalomjáték, képkirakó az előző szöveges feladathoz kapcsolódóan.</w:t>
            </w:r>
          </w:p>
          <w:p w:rsidR="00365B70" w:rsidRDefault="008247EF">
            <w:r>
              <w:t>Célja: élményszerzés.</w:t>
            </w:r>
          </w:p>
        </w:tc>
        <w:tc>
          <w:tcPr>
            <w:tcW w:w="1985" w:type="dxa"/>
          </w:tcPr>
          <w:p w:rsidR="00365B70" w:rsidRDefault="008247EF">
            <w:r>
              <w:t>Kirakják a képet, kitalálják, mit ábrázol.</w:t>
            </w:r>
          </w:p>
        </w:tc>
        <w:tc>
          <w:tcPr>
            <w:tcW w:w="2385" w:type="dxa"/>
          </w:tcPr>
          <w:p w:rsidR="00365B70" w:rsidRDefault="008247EF">
            <w:r>
              <w:t>A szöveges feladattal elkészült csoportoknak a szöveges feladathoz kapcsolódó kirakót kiosztja.</w:t>
            </w:r>
          </w:p>
        </w:tc>
        <w:tc>
          <w:tcPr>
            <w:tcW w:w="1575" w:type="dxa"/>
          </w:tcPr>
          <w:p w:rsidR="00365B70" w:rsidRDefault="008247EF">
            <w:r>
              <w:t>Csoportmunka</w:t>
            </w:r>
          </w:p>
        </w:tc>
        <w:tc>
          <w:tcPr>
            <w:tcW w:w="4110" w:type="dxa"/>
          </w:tcPr>
          <w:p w:rsidR="00365B70" w:rsidRDefault="008247EF">
            <w:r>
              <w:t>Kirakók</w:t>
            </w:r>
          </w:p>
          <w:p w:rsidR="00365B70" w:rsidRDefault="008247EF">
            <w:r>
              <w:rPr>
                <w:noProof/>
              </w:rPr>
              <w:drawing>
                <wp:inline distT="0" distB="0" distL="0" distR="0">
                  <wp:extent cx="724819" cy="779180"/>
                  <wp:effectExtent l="0" t="0" r="0" b="0"/>
                  <wp:docPr id="8" name="image20.jpg" descr="Képtalálat a következőre: „reformáció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Képtalálat a következőre: „reformáció”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19" cy="779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7" name="image19.jpg" descr="https://upload.wikimedia.org/wikipedia/commons/thumb/2/2f/Lutherstadt_Wittenberg_09-2016_photo06.jpg/800px-Lutherstadt_Wittenberg_09-2016_photo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s://upload.wikimedia.org/wikipedia/commons/thumb/2/2f/Lutherstadt_Wittenberg_09-2016_photo06.jpg/800px-Lutherstadt_Wittenberg_09-2016_photo0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75986" cy="760466"/>
                  <wp:effectExtent l="0" t="0" r="0" b="0"/>
                  <wp:docPr id="10" name="image23.jpg" descr="LutherRo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LutherRose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86" cy="7604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65B70" w:rsidRDefault="008247EF">
            <w:r>
              <w:rPr>
                <w:noProof/>
              </w:rPr>
              <w:drawing>
                <wp:inline distT="0" distB="0" distL="0" distR="0">
                  <wp:extent cx="1195079" cy="795968"/>
                  <wp:effectExtent l="0" t="0" r="0" b="0"/>
                  <wp:docPr id="9" name="image22.jpg" descr="Képtalálat a következőre: „kálvin jános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Képtalálat a következőre: „kálvin jános”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9" cy="795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29099" cy="785562"/>
                  <wp:effectExtent l="0" t="0" r="0" b="0"/>
                  <wp:docPr id="14" name="image27.jpg" descr="http://2016.parokia.hu/data/subsite/1/galeria/14922/DSC_17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://2016.parokia.hu/data/subsite/1/galeria/14922/DSC_1733.jpg"/>
                          <pic:cNvPicPr preferRelativeResize="0"/>
                        </pic:nvPicPr>
                        <pic:blipFill>
                          <a:blip r:embed="rId15"/>
                          <a:srcRect t="17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99" cy="7855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40856" cy="785159"/>
                  <wp:effectExtent l="0" t="0" r="0" b="0"/>
                  <wp:docPr id="11" name="image24.jpg" descr="Képtalálat a következőre: „vizsoly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Képtalálat a következőre: „vizsoly”"/>
                          <pic:cNvPicPr preferRelativeResize="0"/>
                        </pic:nvPicPr>
                        <pic:blipFill>
                          <a:blip r:embed="rId16"/>
                          <a:srcRect r="20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56" cy="785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65B70" w:rsidRDefault="008247EF">
            <w:bookmarkStart w:id="3" w:name="_1fob9te" w:colFirst="0" w:colLast="0"/>
            <w:bookmarkEnd w:id="3"/>
            <w:r>
              <w:t>6. sz. mellékletben nyomtatható formában.</w:t>
            </w:r>
          </w:p>
        </w:tc>
        <w:tc>
          <w:tcPr>
            <w:tcW w:w="1995" w:type="dxa"/>
          </w:tcPr>
          <w:p w:rsidR="00365B70" w:rsidRDefault="008247EF">
            <w:r>
              <w:t>A játék előkészítése: a mellékletben található</w:t>
            </w:r>
            <w:r>
              <w:t xml:space="preserve"> kirakókat a tanár kinyomtatja, szétvágja és minden csoportnak egy borítékba előkészíti.</w:t>
            </w:r>
          </w:p>
          <w:p w:rsidR="00365B70" w:rsidRDefault="008247EF">
            <w:r>
              <w:t>A képek számozása a mellékletben megegyezik a szöveges feladatok számozásával. (Pl.: az 1. feladathoz az 1. képkirakó tartozik.)</w:t>
            </w:r>
          </w:p>
        </w:tc>
      </w:tr>
      <w:tr w:rsidR="00365B70">
        <w:trPr>
          <w:trHeight w:val="920"/>
        </w:trPr>
        <w:tc>
          <w:tcPr>
            <w:tcW w:w="611" w:type="dxa"/>
          </w:tcPr>
          <w:p w:rsidR="00365B70" w:rsidRDefault="008247EF">
            <w:r>
              <w:t>6’</w:t>
            </w:r>
          </w:p>
        </w:tc>
        <w:tc>
          <w:tcPr>
            <w:tcW w:w="2650" w:type="dxa"/>
          </w:tcPr>
          <w:p w:rsidR="00365B70" w:rsidRDefault="008247EF">
            <w:r>
              <w:t>Összegzés, cél a megoldott szövege</w:t>
            </w:r>
            <w:r>
              <w:t xml:space="preserve">s feladatok bemutatása, az új információk kiemelésével, melyeket elsősorban a szöveges feladatok segítségével a reformációról kaphatunk. </w:t>
            </w:r>
          </w:p>
          <w:p w:rsidR="00365B70" w:rsidRDefault="008247EF">
            <w:r>
              <w:t>1. feladat: Luther Márton 34 éves volt, amikor a wittenbergi vártemplom kapujára kiszögezte a 95 pontot.</w:t>
            </w:r>
          </w:p>
          <w:p w:rsidR="00365B70" w:rsidRDefault="008247EF">
            <w:r>
              <w:t>2. feladat: a</w:t>
            </w:r>
            <w:r>
              <w:t xml:space="preserve"> wittenbergi </w:t>
            </w:r>
            <w:r>
              <w:lastRenderedPageBreak/>
              <w:t>vártemplom Németországban található, kb. 860 km-re Budapesttől.</w:t>
            </w:r>
          </w:p>
          <w:p w:rsidR="00365B70" w:rsidRDefault="008247EF">
            <w:r>
              <w:t>3. feladat: Németország lakosságának csak kb. 23%-</w:t>
            </w:r>
            <w:proofErr w:type="gramStart"/>
            <w:r>
              <w:t>a</w:t>
            </w:r>
            <w:proofErr w:type="gramEnd"/>
            <w:r>
              <w:t>, 19 millió fő vallja magát lutheránusnak.</w:t>
            </w:r>
          </w:p>
          <w:p w:rsidR="00365B70" w:rsidRDefault="008247EF">
            <w:r>
              <w:t>4. feladat: a Reformáció nemzetközi emlékműve Genfben található.</w:t>
            </w:r>
          </w:p>
          <w:p w:rsidR="00365B70" w:rsidRDefault="008247EF">
            <w:r>
              <w:t>5. feladat: a Reformátorok tere a XVI. kerületben, a Reformáció 500. évfordulójára készült.</w:t>
            </w:r>
          </w:p>
          <w:p w:rsidR="00365B70" w:rsidRDefault="008247EF">
            <w:r>
              <w:t>6. feladat: Károli Gáspár, gönci lelkész nevéhez fűződik a Biblia teljes lefordítása és 1590-es vizsolyi kiadása.</w:t>
            </w:r>
          </w:p>
          <w:p w:rsidR="00365B70" w:rsidRDefault="00365B70">
            <w:pPr>
              <w:rPr>
                <w:color w:val="A64D79"/>
              </w:rPr>
            </w:pPr>
          </w:p>
        </w:tc>
        <w:tc>
          <w:tcPr>
            <w:tcW w:w="1985" w:type="dxa"/>
          </w:tcPr>
          <w:p w:rsidR="00365B70" w:rsidRDefault="008247EF">
            <w:r>
              <w:lastRenderedPageBreak/>
              <w:t>A csapatkapitány bemutatja a csapat által megoldo</w:t>
            </w:r>
            <w:r>
              <w:t>tt szöveges feladatot.</w:t>
            </w:r>
          </w:p>
        </w:tc>
        <w:tc>
          <w:tcPr>
            <w:tcW w:w="2385" w:type="dxa"/>
          </w:tcPr>
          <w:p w:rsidR="00365B70" w:rsidRDefault="008247EF">
            <w:r>
              <w:t>Ellenőriz, magyaráz, ha szükséges.</w:t>
            </w:r>
          </w:p>
        </w:tc>
        <w:tc>
          <w:tcPr>
            <w:tcW w:w="1575" w:type="dxa"/>
          </w:tcPr>
          <w:p w:rsidR="00365B70" w:rsidRDefault="008247EF">
            <w:r>
              <w:t>Egyéni</w:t>
            </w:r>
          </w:p>
        </w:tc>
        <w:tc>
          <w:tcPr>
            <w:tcW w:w="4110" w:type="dxa"/>
          </w:tcPr>
          <w:p w:rsidR="00365B70" w:rsidRDefault="008247EF">
            <w:r>
              <w:t>Nincs</w:t>
            </w:r>
          </w:p>
        </w:tc>
        <w:tc>
          <w:tcPr>
            <w:tcW w:w="1995" w:type="dxa"/>
          </w:tcPr>
          <w:p w:rsidR="00365B70" w:rsidRDefault="008247EF">
            <w:r>
              <w:t>Nincs</w:t>
            </w:r>
          </w:p>
        </w:tc>
      </w:tr>
      <w:tr w:rsidR="00365B70">
        <w:trPr>
          <w:trHeight w:val="920"/>
        </w:trPr>
        <w:tc>
          <w:tcPr>
            <w:tcW w:w="611" w:type="dxa"/>
          </w:tcPr>
          <w:p w:rsidR="00365B70" w:rsidRDefault="008247EF">
            <w:r>
              <w:t>2’</w:t>
            </w:r>
          </w:p>
        </w:tc>
        <w:tc>
          <w:tcPr>
            <w:tcW w:w="2650" w:type="dxa"/>
          </w:tcPr>
          <w:p w:rsidR="00365B70" w:rsidRDefault="008247EF">
            <w:r>
              <w:t xml:space="preserve">Értékelés: </w:t>
            </w:r>
          </w:p>
          <w:p w:rsidR="00365B70" w:rsidRDefault="008247EF">
            <w:r>
              <w:t>értékelési szempontok:</w:t>
            </w:r>
          </w:p>
          <w:p w:rsidR="00365B70" w:rsidRDefault="008247EF">
            <w:r>
              <w:t>1. a tanulók páros és csoportmunkájában a kooperatív tevékenység megvalósulása</w:t>
            </w:r>
          </w:p>
          <w:p w:rsidR="00365B70" w:rsidRDefault="008247EF">
            <w:r>
              <w:t xml:space="preserve">2. a feladatok helyes, matematikai levezetése </w:t>
            </w:r>
          </w:p>
          <w:p w:rsidR="00365B70" w:rsidRDefault="008247EF">
            <w:r>
              <w:t>3. órai aktivitás.</w:t>
            </w:r>
          </w:p>
          <w:p w:rsidR="00365B70" w:rsidRDefault="00365B70">
            <w:pPr>
              <w:rPr>
                <w:color w:val="A64D79"/>
              </w:rPr>
            </w:pPr>
          </w:p>
        </w:tc>
        <w:tc>
          <w:tcPr>
            <w:tcW w:w="1985" w:type="dxa"/>
          </w:tcPr>
          <w:p w:rsidR="00365B70" w:rsidRDefault="008247EF">
            <w:r>
              <w:t xml:space="preserve">A csapatkapitány értékeli a csapat órai munkáját. </w:t>
            </w:r>
          </w:p>
        </w:tc>
        <w:tc>
          <w:tcPr>
            <w:tcW w:w="2385" w:type="dxa"/>
          </w:tcPr>
          <w:p w:rsidR="00365B70" w:rsidRDefault="008247EF">
            <w:r>
              <w:t>Értékeli a tanulók munkáját.</w:t>
            </w:r>
          </w:p>
          <w:p w:rsidR="00365B70" w:rsidRDefault="00365B70"/>
        </w:tc>
        <w:tc>
          <w:tcPr>
            <w:tcW w:w="1575" w:type="dxa"/>
          </w:tcPr>
          <w:p w:rsidR="00365B70" w:rsidRDefault="008247EF">
            <w:r>
              <w:t>Nincs</w:t>
            </w:r>
          </w:p>
        </w:tc>
        <w:tc>
          <w:tcPr>
            <w:tcW w:w="4110" w:type="dxa"/>
          </w:tcPr>
          <w:p w:rsidR="00365B70" w:rsidRDefault="008247EF">
            <w:r>
              <w:t>Nincs</w:t>
            </w:r>
          </w:p>
        </w:tc>
        <w:tc>
          <w:tcPr>
            <w:tcW w:w="1995" w:type="dxa"/>
          </w:tcPr>
          <w:p w:rsidR="00365B70" w:rsidRDefault="008247EF">
            <w:r>
              <w:t>Kutatómunka adható.</w:t>
            </w:r>
          </w:p>
        </w:tc>
      </w:tr>
    </w:tbl>
    <w:p w:rsidR="00365B70" w:rsidRDefault="00365B70" w:rsidP="008247EF">
      <w:pPr>
        <w:tabs>
          <w:tab w:val="left" w:pos="11003"/>
        </w:tabs>
      </w:pPr>
    </w:p>
    <w:sectPr w:rsidR="00365B70" w:rsidSect="008247EF">
      <w:headerReference w:type="default" r:id="rId17"/>
      <w:footerReference w:type="default" r:id="rId18"/>
      <w:pgSz w:w="16838" w:h="11906"/>
      <w:pgMar w:top="1418" w:right="1417" w:bottom="113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47EF">
      <w:pPr>
        <w:spacing w:after="0" w:line="240" w:lineRule="auto"/>
      </w:pPr>
      <w:r>
        <w:separator/>
      </w:r>
    </w:p>
  </w:endnote>
  <w:endnote w:type="continuationSeparator" w:id="0">
    <w:p w:rsidR="00000000" w:rsidRDefault="0082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0" w:rsidRDefault="008247EF">
    <w:pPr>
      <w:tabs>
        <w:tab w:val="left" w:pos="3900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47EF">
      <w:pPr>
        <w:spacing w:after="0" w:line="240" w:lineRule="auto"/>
      </w:pPr>
      <w:r>
        <w:separator/>
      </w:r>
    </w:p>
  </w:footnote>
  <w:footnote w:type="continuationSeparator" w:id="0">
    <w:p w:rsidR="00000000" w:rsidRDefault="0082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70" w:rsidRDefault="008247EF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inline distT="114300" distB="114300" distL="114300" distR="114300">
          <wp:extent cx="6638925" cy="990600"/>
          <wp:effectExtent l="0" t="0" r="0" b="0"/>
          <wp:docPr id="19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B70"/>
    <w:rsid w:val="00365B70"/>
    <w:rsid w:val="008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62203"/>
  <w15:docId w15:val="{B1B148A7-8F6A-4363-AD19-AA21818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2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7EF"/>
  </w:style>
  <w:style w:type="paragraph" w:styleId="llb">
    <w:name w:val="footer"/>
    <w:basedOn w:val="Norml"/>
    <w:link w:val="llbChar"/>
    <w:uiPriority w:val="99"/>
    <w:unhideWhenUsed/>
    <w:rsid w:val="0082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847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2018-08-23T12:34:00Z</dcterms:created>
  <dcterms:modified xsi:type="dcterms:W3CDTF">2018-08-23T12:38:00Z</dcterms:modified>
</cp:coreProperties>
</file>