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302B" w:rsidRDefault="008F7BE9">
      <w:pPr>
        <w:pStyle w:val="Cm"/>
        <w:spacing w:after="360" w:line="273" w:lineRule="auto"/>
      </w:pPr>
      <w:bookmarkStart w:id="0" w:name="_gjdgxs" w:colFirst="0" w:colLast="0"/>
      <w:bookmarkEnd w:id="0"/>
      <w:r>
        <w:t>Bulgária társadalom- és gazdaságföldrajza</w:t>
      </w:r>
    </w:p>
    <w:p w:rsidR="00A1302B" w:rsidRPr="004643B0" w:rsidRDefault="008F7BE9">
      <w:pPr>
        <w:spacing w:after="240"/>
        <w:rPr>
          <w:b/>
          <w:bCs/>
        </w:rPr>
      </w:pPr>
      <w:r w:rsidRPr="004643B0">
        <w:rPr>
          <w:b/>
          <w:bCs/>
        </w:rPr>
        <w:t>Az ábrák tanulmányozása alapján válaszolj az alábbi kérdésekre!</w:t>
      </w:r>
    </w:p>
    <w:p w:rsidR="00A1302B" w:rsidRDefault="008F7BE9">
      <w:pPr>
        <w:numPr>
          <w:ilvl w:val="0"/>
          <w:numId w:val="1"/>
        </w:numPr>
        <w:spacing w:after="240"/>
      </w:pPr>
      <w:r>
        <w:t>Az Európai Unió azokat a régiókat támogatja kiemelten, melyeknek az egy főre jutó GDP-je az uniós átlag 75%-a alatt van. Bulgária mely területei nem részesülnek ilyen támogatásokban? Mi lehet ennek az oka?</w:t>
      </w:r>
    </w:p>
    <w:p w:rsidR="00A1302B" w:rsidRDefault="008F7BE9" w:rsidP="004643B0">
      <w:pPr>
        <w:numPr>
          <w:ilvl w:val="0"/>
          <w:numId w:val="1"/>
        </w:numPr>
        <w:spacing w:after="240"/>
      </w:pPr>
      <w:r>
        <w:t xml:space="preserve">Milyen adatokkal tudnád </w:t>
      </w:r>
      <w:r w:rsidR="004643B0">
        <w:t>al</w:t>
      </w:r>
      <w:r w:rsidR="004643B0">
        <w:t>á</w:t>
      </w:r>
      <w:r w:rsidR="004643B0">
        <w:t>támasztani</w:t>
      </w:r>
      <w:r>
        <w:t>, hogy Bulgáriát is érintette a 2009-es gazdasági válság?</w:t>
      </w:r>
    </w:p>
    <w:p w:rsidR="00A1302B" w:rsidRDefault="008F7BE9">
      <w:pPr>
        <w:numPr>
          <w:ilvl w:val="0"/>
          <w:numId w:val="1"/>
        </w:numPr>
        <w:spacing w:after="240"/>
      </w:pPr>
      <w:r>
        <w:t>Milyen mértékben tudott a bolgár gazdaság a válságot követően talpra állni?</w:t>
      </w:r>
    </w:p>
    <w:p w:rsidR="00A1302B" w:rsidRDefault="008F7BE9">
      <w:pPr>
        <w:numPr>
          <w:ilvl w:val="0"/>
          <w:numId w:val="1"/>
        </w:numPr>
        <w:spacing w:after="240"/>
      </w:pPr>
      <w:r>
        <w:t>Milyen módon változott a népesség nemenkénti koreloszlása az elmúlt bő fél</w:t>
      </w:r>
      <w:r w:rsidR="004643B0">
        <w:t xml:space="preserve"> </w:t>
      </w:r>
      <w:r>
        <w:t>évszázadban?</w:t>
      </w:r>
    </w:p>
    <w:p w:rsidR="00A1302B" w:rsidRDefault="008F7BE9">
      <w:pPr>
        <w:numPr>
          <w:ilvl w:val="0"/>
          <w:numId w:val="1"/>
        </w:numPr>
        <w:spacing w:after="240"/>
      </w:pPr>
      <w:r>
        <w:t>Az ország mely területein élhetnek nagy arányban török nemzetiségűek?</w:t>
      </w:r>
    </w:p>
    <w:p w:rsidR="00A1302B" w:rsidRDefault="00A1302B">
      <w:pPr>
        <w:spacing w:after="240"/>
      </w:pPr>
    </w:p>
    <w:p w:rsidR="00A1302B" w:rsidRDefault="008F7BE9">
      <w:pPr>
        <w:jc w:val="center"/>
        <w:rPr>
          <w:i/>
          <w:sz w:val="20"/>
          <w:szCs w:val="20"/>
        </w:rPr>
      </w:pPr>
      <w:bookmarkStart w:id="1" w:name="_30j0zll" w:colFirst="0" w:colLast="0"/>
      <w:bookmarkEnd w:id="1"/>
      <w:r>
        <w:rPr>
          <w:i/>
          <w:sz w:val="20"/>
          <w:szCs w:val="20"/>
        </w:rPr>
        <w:t>A gazdasági növekedés (zöld, piros) és a munkanélküliségi ráta (kék) alakulása Bulgáriában 2001 és 2016 között</w:t>
      </w:r>
      <w:r>
        <w:rPr>
          <w:i/>
          <w:sz w:val="20"/>
          <w:szCs w:val="20"/>
        </w:rPr>
        <w:br/>
        <w:t xml:space="preserve">(Forrás: </w:t>
      </w:r>
      <w:hyperlink r:id="rId6">
        <w:r>
          <w:rPr>
            <w:i/>
            <w:color w:val="1155CC"/>
            <w:sz w:val="20"/>
            <w:szCs w:val="20"/>
            <w:u w:val="single"/>
          </w:rPr>
          <w:t>https://commons.wikimedia.org/wiki/File:Economic_Growth_in_Bulgaria.gif</w:t>
        </w:r>
      </w:hyperlink>
      <w:r>
        <w:rPr>
          <w:i/>
          <w:sz w:val="20"/>
          <w:szCs w:val="20"/>
        </w:rPr>
        <w:t xml:space="preserve">) </w:t>
      </w:r>
    </w:p>
    <w:p w:rsidR="00A1302B" w:rsidRDefault="008F7BE9">
      <w:pPr>
        <w:jc w:val="center"/>
      </w:pPr>
      <w:r>
        <w:rPr>
          <w:i/>
          <w:noProof/>
          <w:sz w:val="20"/>
          <w:szCs w:val="20"/>
          <w:lang w:val="hu-HU" w:bidi="he-IL"/>
        </w:rPr>
        <w:drawing>
          <wp:inline distT="114300" distB="114300" distL="114300" distR="114300" wp14:anchorId="2501E0BD" wp14:editId="54177FFC">
            <wp:extent cx="6482850" cy="2476500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t="6894"/>
                    <a:stretch>
                      <a:fillRect/>
                    </a:stretch>
                  </pic:blipFill>
                  <pic:spPr>
                    <a:xfrm>
                      <a:off x="0" y="0"/>
                      <a:ext cx="6482850" cy="247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302B" w:rsidRDefault="00A1302B">
      <w:pPr>
        <w:jc w:val="center"/>
        <w:rPr>
          <w:i/>
          <w:sz w:val="20"/>
          <w:szCs w:val="20"/>
        </w:rPr>
      </w:pPr>
    </w:p>
    <w:p w:rsidR="00A1302B" w:rsidRDefault="008F7BE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Bulgária korfája 1950-ben, 2000-ben és 2017-ben</w:t>
      </w:r>
      <w:r>
        <w:rPr>
          <w:i/>
          <w:sz w:val="20"/>
          <w:szCs w:val="20"/>
        </w:rPr>
        <w:br/>
        <w:t xml:space="preserve">(Források: </w:t>
      </w:r>
      <w:hyperlink r:id="rId8">
        <w:r>
          <w:rPr>
            <w:i/>
            <w:color w:val="1155CC"/>
            <w:sz w:val="20"/>
            <w:szCs w:val="20"/>
            <w:u w:val="single"/>
          </w:rPr>
          <w:t>https://commons.wikimedia.org/wiki/File:Bulgariapop-1950.svg</w:t>
        </w:r>
      </w:hyperlink>
      <w:r>
        <w:rPr>
          <w:i/>
          <w:sz w:val="20"/>
          <w:szCs w:val="20"/>
        </w:rPr>
        <w:t xml:space="preserve">, </w:t>
      </w:r>
      <w:hyperlink r:id="rId9">
        <w:r>
          <w:rPr>
            <w:i/>
            <w:color w:val="1155CC"/>
            <w:sz w:val="20"/>
            <w:szCs w:val="20"/>
            <w:u w:val="single"/>
          </w:rPr>
          <w:t>https://commons.wikimedia.org/wiki/File:Bulgariapop-2000.svg</w:t>
        </w:r>
      </w:hyperlink>
      <w:r>
        <w:rPr>
          <w:i/>
          <w:sz w:val="20"/>
          <w:szCs w:val="20"/>
        </w:rPr>
        <w:t xml:space="preserve">, </w:t>
      </w:r>
      <w:hyperlink r:id="rId10">
        <w:r>
          <w:rPr>
            <w:i/>
            <w:color w:val="1155CC"/>
            <w:sz w:val="20"/>
            <w:szCs w:val="20"/>
            <w:u w:val="single"/>
          </w:rPr>
          <w:t>https://commons.wikimedia.org/wiki/File:Bulgariapop.svg</w:t>
        </w:r>
      </w:hyperlink>
      <w:r>
        <w:rPr>
          <w:i/>
          <w:sz w:val="20"/>
          <w:szCs w:val="20"/>
        </w:rPr>
        <w:t xml:space="preserve">) </w:t>
      </w:r>
    </w:p>
    <w:p w:rsidR="00A1302B" w:rsidRDefault="008F7BE9">
      <w:pPr>
        <w:jc w:val="center"/>
      </w:pPr>
      <w:r>
        <w:rPr>
          <w:noProof/>
          <w:lang w:val="hu-HU" w:bidi="he-IL"/>
        </w:rPr>
        <w:drawing>
          <wp:inline distT="114300" distB="114300" distL="114300" distR="114300" wp14:anchorId="3E290493" wp14:editId="46A16221">
            <wp:extent cx="2057400" cy="1543050"/>
            <wp:effectExtent l="0" t="0" r="0" b="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hu-HU" w:bidi="he-IL"/>
        </w:rPr>
        <w:drawing>
          <wp:inline distT="114300" distB="114300" distL="114300" distR="114300" wp14:anchorId="383E66F4" wp14:editId="4D0065BF">
            <wp:extent cx="2066925" cy="1552817"/>
            <wp:effectExtent l="0" t="0" r="0" b="0"/>
            <wp:docPr id="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5528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hu-HU" w:bidi="he-IL"/>
        </w:rPr>
        <w:drawing>
          <wp:inline distT="114300" distB="114300" distL="114300" distR="114300" wp14:anchorId="234C38B0" wp14:editId="3E278BC8">
            <wp:extent cx="2077326" cy="1560263"/>
            <wp:effectExtent l="0" t="0" r="0" b="0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7326" cy="1560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302B" w:rsidRDefault="008F7BE9" w:rsidP="004643B0">
      <w:pPr>
        <w:spacing w:line="276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Egy főre jutó bruttó haza termék (GDP) az Európai Unió NUTS-2 régióiban az </w:t>
      </w:r>
      <w:r w:rsidR="004643B0">
        <w:rPr>
          <w:i/>
          <w:sz w:val="20"/>
          <w:szCs w:val="20"/>
        </w:rPr>
        <w:t>EU</w:t>
      </w:r>
      <w:r w:rsidR="004643B0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átlaghoz viszonyítva 2015-ben</w:t>
      </w:r>
      <w:r>
        <w:rPr>
          <w:i/>
          <w:sz w:val="20"/>
          <w:szCs w:val="20"/>
        </w:rPr>
        <w:br/>
        <w:t>(Forrás:</w:t>
      </w:r>
      <w:r>
        <w:rPr>
          <w:i/>
          <w:color w:val="FFFFFF"/>
          <w:sz w:val="20"/>
          <w:szCs w:val="20"/>
        </w:rPr>
        <w:t>_</w:t>
      </w:r>
      <w:hyperlink r:id="rId14">
        <w:r>
          <w:rPr>
            <w:i/>
            <w:color w:val="1155CC"/>
            <w:sz w:val="20"/>
            <w:szCs w:val="20"/>
            <w:u w:val="single"/>
          </w:rPr>
          <w:t>https://commons.wikimedia.org/wiki/File:Gross_domestic_product_(GDP)_per_inhabitant_in_purchasing_power_standards_(PPS)_in_relation_to_the_EU-28_average,_by_NUTS_2_regions,_2015.png</w:t>
        </w:r>
      </w:hyperlink>
      <w:r>
        <w:rPr>
          <w:i/>
          <w:sz w:val="20"/>
          <w:szCs w:val="20"/>
        </w:rPr>
        <w:t>)</w:t>
      </w:r>
    </w:p>
    <w:p w:rsidR="00A1302B" w:rsidRDefault="008F7BE9">
      <w:pPr>
        <w:jc w:val="center"/>
      </w:pPr>
      <w:r>
        <w:rPr>
          <w:noProof/>
          <w:lang w:val="hu-HU" w:bidi="he-IL"/>
        </w:rPr>
        <w:lastRenderedPageBreak/>
        <w:drawing>
          <wp:inline distT="114300" distB="114300" distL="114300" distR="114300" wp14:anchorId="6A027C43" wp14:editId="7C6615A4">
            <wp:extent cx="6094836" cy="8621962"/>
            <wp:effectExtent l="0" t="0" r="0" b="0"/>
            <wp:docPr id="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4836" cy="86219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302B" w:rsidRDefault="008F7BE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 legtöbb hívővel rendelkező vallások Bulgária NUTS 4-es (LAU 1-es) közigazgatási egységeiben </w:t>
      </w:r>
      <w:r>
        <w:rPr>
          <w:i/>
          <w:sz w:val="20"/>
          <w:szCs w:val="20"/>
        </w:rPr>
        <w:br/>
        <w:t>a 2011-es népszámlálás alapján</w:t>
      </w:r>
      <w:bookmarkStart w:id="2" w:name="_GoBack"/>
      <w:bookmarkEnd w:id="2"/>
      <w:r>
        <w:rPr>
          <w:i/>
          <w:sz w:val="20"/>
          <w:szCs w:val="20"/>
        </w:rPr>
        <w:br/>
        <w:t xml:space="preserve">(Forrás: </w:t>
      </w:r>
      <w:hyperlink r:id="rId16">
        <w:r>
          <w:rPr>
            <w:i/>
            <w:color w:val="1155CC"/>
            <w:sz w:val="20"/>
            <w:szCs w:val="20"/>
            <w:u w:val="single"/>
          </w:rPr>
          <w:t>https://commons.wikimedia.org/wiki/File:Bulgaria_religous_map_by_municipalities.png</w:t>
        </w:r>
      </w:hyperlink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br/>
        <w:t>alapján magyarra fordítva)</w:t>
      </w:r>
    </w:p>
    <w:p w:rsidR="00A1302B" w:rsidRDefault="008F7BE9">
      <w:pPr>
        <w:jc w:val="center"/>
      </w:pPr>
      <w:r>
        <w:rPr>
          <w:noProof/>
          <w:lang w:val="hu-HU" w:bidi="he-IL"/>
        </w:rPr>
        <w:lastRenderedPageBreak/>
        <w:drawing>
          <wp:inline distT="114300" distB="114300" distL="114300" distR="114300">
            <wp:extent cx="5247968" cy="3455737"/>
            <wp:effectExtent l="0" t="0" r="0" b="0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7"/>
                    <a:srcRect b="3173"/>
                    <a:stretch>
                      <a:fillRect/>
                    </a:stretch>
                  </pic:blipFill>
                  <pic:spPr>
                    <a:xfrm>
                      <a:off x="0" y="0"/>
                      <a:ext cx="5247968" cy="34557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1302B">
      <w:pgSz w:w="11906" w:h="16838"/>
      <w:pgMar w:top="850" w:right="850" w:bottom="850" w:left="85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6A46"/>
    <w:multiLevelType w:val="multilevel"/>
    <w:tmpl w:val="8B5016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revisionView w:markup="0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2B"/>
    <w:rsid w:val="00013B97"/>
    <w:rsid w:val="000C5C07"/>
    <w:rsid w:val="002B3C38"/>
    <w:rsid w:val="004643B0"/>
    <w:rsid w:val="008F7BE9"/>
    <w:rsid w:val="00A1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Open Sans" w:hAnsi="Open Sans" w:cs="Open Sans"/>
        <w:sz w:val="24"/>
        <w:szCs w:val="24"/>
        <w:lang w:val="hu" w:eastAsia="hu-HU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100" w:after="100" w:line="273" w:lineRule="auto"/>
      <w:outlineLvl w:val="0"/>
    </w:pPr>
    <w:rPr>
      <w:b/>
    </w:rPr>
  </w:style>
  <w:style w:type="paragraph" w:styleId="Cmsor2">
    <w:name w:val="heading 2"/>
    <w:basedOn w:val="Norml"/>
    <w:next w:val="Norml"/>
    <w:pPr>
      <w:keepNext/>
      <w:keepLines/>
      <w:spacing w:before="100" w:after="100" w:line="273" w:lineRule="auto"/>
      <w:outlineLvl w:val="1"/>
    </w:pPr>
    <w:rPr>
      <w:u w:val="single"/>
    </w:rPr>
  </w:style>
  <w:style w:type="paragraph" w:styleId="Cmsor3">
    <w:name w:val="heading 3"/>
    <w:basedOn w:val="Norml"/>
    <w:next w:val="Norml"/>
    <w:pPr>
      <w:keepNext/>
      <w:keepLines/>
      <w:spacing w:before="100" w:after="100" w:line="273" w:lineRule="auto"/>
      <w:outlineLvl w:val="2"/>
    </w:p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200" w:line="276" w:lineRule="auto"/>
      <w:jc w:val="center"/>
    </w:pPr>
    <w:rPr>
      <w:b/>
      <w:color w:val="2E75B5"/>
      <w:sz w:val="28"/>
      <w:szCs w:val="28"/>
    </w:rPr>
  </w:style>
  <w:style w:type="paragraph" w:styleId="Alcm">
    <w:name w:val="Subtitle"/>
    <w:basedOn w:val="Norml"/>
    <w:next w:val="Norml"/>
    <w:pPr>
      <w:keepNext/>
      <w:keepLines/>
      <w:spacing w:after="200" w:line="276" w:lineRule="auto"/>
      <w:jc w:val="center"/>
    </w:pPr>
    <w:rPr>
      <w:b/>
      <w:color w:val="2E75B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3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Open Sans" w:hAnsi="Open Sans" w:cs="Open Sans"/>
        <w:sz w:val="24"/>
        <w:szCs w:val="24"/>
        <w:lang w:val="hu" w:eastAsia="hu-HU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100" w:after="100" w:line="273" w:lineRule="auto"/>
      <w:outlineLvl w:val="0"/>
    </w:pPr>
    <w:rPr>
      <w:b/>
    </w:rPr>
  </w:style>
  <w:style w:type="paragraph" w:styleId="Cmsor2">
    <w:name w:val="heading 2"/>
    <w:basedOn w:val="Norml"/>
    <w:next w:val="Norml"/>
    <w:pPr>
      <w:keepNext/>
      <w:keepLines/>
      <w:spacing w:before="100" w:after="100" w:line="273" w:lineRule="auto"/>
      <w:outlineLvl w:val="1"/>
    </w:pPr>
    <w:rPr>
      <w:u w:val="single"/>
    </w:rPr>
  </w:style>
  <w:style w:type="paragraph" w:styleId="Cmsor3">
    <w:name w:val="heading 3"/>
    <w:basedOn w:val="Norml"/>
    <w:next w:val="Norml"/>
    <w:pPr>
      <w:keepNext/>
      <w:keepLines/>
      <w:spacing w:before="100" w:after="100" w:line="273" w:lineRule="auto"/>
      <w:outlineLvl w:val="2"/>
    </w:p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200" w:line="276" w:lineRule="auto"/>
      <w:jc w:val="center"/>
    </w:pPr>
    <w:rPr>
      <w:b/>
      <w:color w:val="2E75B5"/>
      <w:sz w:val="28"/>
      <w:szCs w:val="28"/>
    </w:rPr>
  </w:style>
  <w:style w:type="paragraph" w:styleId="Alcm">
    <w:name w:val="Subtitle"/>
    <w:basedOn w:val="Norml"/>
    <w:next w:val="Norml"/>
    <w:pPr>
      <w:keepNext/>
      <w:keepLines/>
      <w:spacing w:after="200" w:line="276" w:lineRule="auto"/>
      <w:jc w:val="center"/>
    </w:pPr>
    <w:rPr>
      <w:b/>
      <w:color w:val="2E75B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3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Bulgariapop-1950.svg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commons.wikimedia.org/wiki/File:Bulgaria_religous_map_by_municipalities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Economic_Growth_in_Bulgaria.gif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commons.wikimedia.org/wiki/File:Bulgariapop.sv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iki/File:Bulgariapop-2000.svg" TargetMode="External"/><Relationship Id="rId14" Type="http://schemas.openxmlformats.org/officeDocument/2006/relationships/hyperlink" Target="https://commons.wikimedia.org/wiki/File:Gross_domestic_product_(GDP)_per_inhabitant_in_purchasing_power_standards_(PPS)_in_relation_to_the_EU-28_average,_by_NUTS_2_regions,_2015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Vezeto2</dc:creator>
  <cp:lastModifiedBy>Székács Judit</cp:lastModifiedBy>
  <cp:revision>2</cp:revision>
  <dcterms:created xsi:type="dcterms:W3CDTF">2018-08-20T12:30:00Z</dcterms:created>
  <dcterms:modified xsi:type="dcterms:W3CDTF">2018-08-20T12:30:00Z</dcterms:modified>
</cp:coreProperties>
</file>