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5. számú melléklet: Szópuzzle</w:t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4696"/>
        <w:gridCol w:w="4654"/>
        <w:tblGridChange w:id="0">
          <w:tblGrid>
            <w:gridCol w:w="4644"/>
            <w:gridCol w:w="4696"/>
            <w:gridCol w:w="4654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ORANDO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ET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LABORANDO!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FÉLJÉTEK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AZ ISTENT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ÉS NÉKI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ADJATOK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DICSŐSÉGET!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ISTENNEK,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HAZÁNAK,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TUDOMÁNYNAK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SZABADON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TENYÉSZIK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201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pos="1306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headerReference r:id="rId6" w:type="default"/>
      <w:footerReference r:id="rId7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b="0" l="0" r="0" t="0"/>
          <wp:wrapSquare wrapText="bothSides" distB="0" distT="0" distL="0" distR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