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C6" w:rsidRDefault="006242C6">
      <w:pPr>
        <w:widowControl w:val="0"/>
        <w:spacing w:after="0" w:line="276" w:lineRule="auto"/>
        <w:rPr>
          <w:rFonts w:ascii="Arial" w:eastAsia="Arial" w:hAnsi="Arial" w:cs="Arial"/>
          <w:color w:val="0563C1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6242C6">
        <w:trPr>
          <w:trHeight w:val="420"/>
        </w:trPr>
        <w:tc>
          <w:tcPr>
            <w:tcW w:w="14601" w:type="dxa"/>
            <w:gridSpan w:val="7"/>
          </w:tcPr>
          <w:p w:rsidR="006242C6" w:rsidRDefault="00DF4FA1">
            <w:pPr>
              <w:rPr>
                <w:b/>
              </w:rPr>
            </w:pPr>
            <w:r>
              <w:rPr>
                <w:b/>
              </w:rPr>
              <w:t xml:space="preserve">Az óra céljai: </w:t>
            </w:r>
            <w:r>
              <w:t>Megosztott figyelem; két, illetve több szempont egyidejű követése. Szöveges megfogalmazások matematikai modellre fordítása (szövegértés, modellalkotás). Elnevezések megtanulása, definíciókra való emlékezés.</w:t>
            </w:r>
          </w:p>
        </w:tc>
      </w:tr>
      <w:tr w:rsidR="006242C6">
        <w:tc>
          <w:tcPr>
            <w:tcW w:w="611" w:type="dxa"/>
          </w:tcPr>
          <w:p w:rsidR="006242C6" w:rsidRDefault="00DF4FA1">
            <w:pPr>
              <w:rPr>
                <w:b/>
              </w:rPr>
            </w:pPr>
            <w:r>
              <w:rPr>
                <w:b/>
              </w:rPr>
              <w:t>Idő</w:t>
            </w:r>
          </w:p>
        </w:tc>
        <w:tc>
          <w:tcPr>
            <w:tcW w:w="1814" w:type="dxa"/>
          </w:tcPr>
          <w:p w:rsidR="006242C6" w:rsidRDefault="00DF4FA1">
            <w:pPr>
              <w:rPr>
                <w:b/>
              </w:rPr>
            </w:pPr>
            <w:r>
              <w:rPr>
                <w:b/>
              </w:rPr>
              <w:t>Szakaszok és célok</w:t>
            </w:r>
          </w:p>
        </w:tc>
        <w:tc>
          <w:tcPr>
            <w:tcW w:w="3402" w:type="dxa"/>
          </w:tcPr>
          <w:p w:rsidR="006242C6" w:rsidRDefault="00DF4FA1">
            <w:pPr>
              <w:rPr>
                <w:b/>
              </w:rPr>
            </w:pPr>
            <w:r>
              <w:rPr>
                <w:b/>
              </w:rPr>
              <w:t>Tanulói tevékenységek</w:t>
            </w:r>
          </w:p>
        </w:tc>
        <w:tc>
          <w:tcPr>
            <w:tcW w:w="3402" w:type="dxa"/>
          </w:tcPr>
          <w:p w:rsidR="006242C6" w:rsidRDefault="00DF4FA1">
            <w:pPr>
              <w:rPr>
                <w:b/>
              </w:rPr>
            </w:pPr>
            <w:r>
              <w:rPr>
                <w:b/>
              </w:rPr>
              <w:t>Tanári tevékenységek</w:t>
            </w:r>
          </w:p>
        </w:tc>
        <w:tc>
          <w:tcPr>
            <w:tcW w:w="1814" w:type="dxa"/>
          </w:tcPr>
          <w:p w:rsidR="006242C6" w:rsidRDefault="00DF4FA1">
            <w:pPr>
              <w:rPr>
                <w:b/>
              </w:rPr>
            </w:pPr>
            <w:r>
              <w:rPr>
                <w:b/>
              </w:rPr>
              <w:t>Munkaforma/</w:t>
            </w:r>
          </w:p>
          <w:p w:rsidR="006242C6" w:rsidRDefault="00DF4FA1">
            <w:pPr>
              <w:rPr>
                <w:b/>
              </w:rPr>
            </w:pPr>
            <w:r>
              <w:rPr>
                <w:b/>
              </w:rPr>
              <w:t>Módszer</w:t>
            </w:r>
          </w:p>
        </w:tc>
        <w:tc>
          <w:tcPr>
            <w:tcW w:w="1814" w:type="dxa"/>
          </w:tcPr>
          <w:p w:rsidR="006242C6" w:rsidRDefault="00DF4FA1">
            <w:pPr>
              <w:rPr>
                <w:b/>
              </w:rPr>
            </w:pPr>
            <w:r>
              <w:rPr>
                <w:b/>
              </w:rPr>
              <w:t>Tananyagok/</w:t>
            </w:r>
          </w:p>
          <w:p w:rsidR="006242C6" w:rsidRDefault="00DF4FA1">
            <w:pPr>
              <w:rPr>
                <w:b/>
              </w:rPr>
            </w:pPr>
            <w:r>
              <w:rPr>
                <w:b/>
              </w:rPr>
              <w:t>Eszközök</w:t>
            </w:r>
          </w:p>
        </w:tc>
        <w:tc>
          <w:tcPr>
            <w:tcW w:w="1744" w:type="dxa"/>
          </w:tcPr>
          <w:p w:rsidR="006242C6" w:rsidRDefault="00DF4FA1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</w:tc>
      </w:tr>
      <w:tr w:rsidR="006242C6">
        <w:trPr>
          <w:trHeight w:val="920"/>
        </w:trPr>
        <w:tc>
          <w:tcPr>
            <w:tcW w:w="611" w:type="dxa"/>
          </w:tcPr>
          <w:p w:rsidR="006242C6" w:rsidRDefault="00DF4FA1">
            <w:r>
              <w:t>5</w:t>
            </w:r>
          </w:p>
        </w:tc>
        <w:tc>
          <w:tcPr>
            <w:tcW w:w="1814" w:type="dxa"/>
          </w:tcPr>
          <w:p w:rsidR="006242C6" w:rsidRDefault="00DF4FA1">
            <w:r>
              <w:t>Adminisztráció, házi felad</w:t>
            </w:r>
            <w:r w:rsidR="00F9016A">
              <w:t>at megbeszélése, az óra terve. H</w:t>
            </w:r>
            <w:r>
              <w:t>ázi feladat ellenőrzésének célja a tanulók rendszeres munkára való szoktatása.</w:t>
            </w:r>
          </w:p>
        </w:tc>
        <w:tc>
          <w:tcPr>
            <w:tcW w:w="3402" w:type="dxa"/>
          </w:tcPr>
          <w:p w:rsidR="006242C6" w:rsidRDefault="00DF4FA1">
            <w:r>
              <w:t>A feladatmegoldás eredményének ellenőrzése, a problémás lépések jelzése, megbeszélése.</w:t>
            </w:r>
          </w:p>
        </w:tc>
        <w:tc>
          <w:tcPr>
            <w:tcW w:w="3402" w:type="dxa"/>
          </w:tcPr>
          <w:p w:rsidR="006242C6" w:rsidRDefault="00DF4FA1">
            <w:r>
              <w:t>A tanár koordinálja, irányítja az ellenőrzést. Értékeli a megoldásokat.</w:t>
            </w:r>
          </w:p>
        </w:tc>
        <w:tc>
          <w:tcPr>
            <w:tcW w:w="1814" w:type="dxa"/>
          </w:tcPr>
          <w:p w:rsidR="006242C6" w:rsidRDefault="00DF4FA1">
            <w:r>
              <w:t>Frontális munka</w:t>
            </w:r>
          </w:p>
        </w:tc>
        <w:tc>
          <w:tcPr>
            <w:tcW w:w="1814" w:type="dxa"/>
          </w:tcPr>
          <w:p w:rsidR="006242C6" w:rsidRDefault="00DF4FA1">
            <w:r>
              <w:t>Házi feladat, szükség esetén interaktív tábla, projektor</w:t>
            </w:r>
            <w:r w:rsidR="00F9016A">
              <w:t>.</w:t>
            </w:r>
          </w:p>
        </w:tc>
        <w:tc>
          <w:tcPr>
            <w:tcW w:w="1744" w:type="dxa"/>
          </w:tcPr>
          <w:p w:rsidR="006242C6" w:rsidRDefault="00DF4FA1">
            <w:r>
              <w:t>IKT</w:t>
            </w:r>
            <w:r w:rsidR="00F9016A">
              <w:t>-</w:t>
            </w:r>
            <w:r>
              <w:t>eszközök előkészítése, terem bútorainak elrendezése</w:t>
            </w:r>
            <w:r w:rsidR="007A559D">
              <w:t>.</w:t>
            </w:r>
          </w:p>
        </w:tc>
      </w:tr>
      <w:tr w:rsidR="006242C6">
        <w:trPr>
          <w:trHeight w:val="920"/>
        </w:trPr>
        <w:tc>
          <w:tcPr>
            <w:tcW w:w="611" w:type="dxa"/>
          </w:tcPr>
          <w:p w:rsidR="006242C6" w:rsidRDefault="00DF4FA1">
            <w:r>
              <w:t>5</w:t>
            </w:r>
          </w:p>
        </w:tc>
        <w:tc>
          <w:tcPr>
            <w:tcW w:w="1814" w:type="dxa"/>
          </w:tcPr>
          <w:p w:rsidR="006242C6" w:rsidRDefault="00DF4FA1">
            <w:r>
              <w:t>Előkészítés. A 3</w:t>
            </w:r>
            <w:r w:rsidR="00F9016A">
              <w:t>–</w:t>
            </w:r>
            <w:r>
              <w:t>4 fős csoportok kialakítása.</w:t>
            </w:r>
          </w:p>
          <w:p w:rsidR="006242C6" w:rsidRDefault="00DF4FA1">
            <w:r>
              <w:t>A társtól való tanulás készségének fejlesztése, a szabálykövetés erősítése.</w:t>
            </w:r>
          </w:p>
          <w:p w:rsidR="006242C6" w:rsidRDefault="00907B46">
            <w:r>
              <w:t>A</w:t>
            </w:r>
            <w:r w:rsidR="00DF4FA1">
              <w:t xml:space="preserve"> kooperatív munka – diákkvartett kooperatív módszer szabályainak elmélyítése</w:t>
            </w:r>
            <w:r w:rsidR="00F9016A">
              <w:t>,</w:t>
            </w:r>
            <w:r w:rsidR="00DF4FA1">
              <w:t xml:space="preserve"> </w:t>
            </w:r>
            <w:r w:rsidR="00F9016A">
              <w:t>e</w:t>
            </w:r>
            <w:r w:rsidR="00DF4FA1">
              <w:t xml:space="preserve">sélyt biztosítva a </w:t>
            </w:r>
            <w:r w:rsidR="00DF4FA1">
              <w:lastRenderedPageBreak/>
              <w:t>lassabban haladóknak a munkában való részvételre</w:t>
            </w:r>
            <w:r w:rsidR="00DF4FA1">
              <w:rPr>
                <w:b/>
              </w:rPr>
              <w:t>.</w:t>
            </w:r>
          </w:p>
        </w:tc>
        <w:tc>
          <w:tcPr>
            <w:tcW w:w="3402" w:type="dxa"/>
          </w:tcPr>
          <w:p w:rsidR="006242C6" w:rsidRDefault="00DF4FA1">
            <w:r>
              <w:lastRenderedPageBreak/>
              <w:t>Csoportokba szerveződés, a személyre szabott feladatok értelmezése.</w:t>
            </w:r>
          </w:p>
          <w:p w:rsidR="006242C6" w:rsidRDefault="00DF4FA1">
            <w:r>
              <w:t>Közreműködés a csoportok kialakításában (pl. a csoportvezetők sorsolják ki a csoporttársakat).</w:t>
            </w:r>
          </w:p>
          <w:p w:rsidR="006242C6" w:rsidRDefault="00DF4FA1">
            <w:bookmarkStart w:id="0" w:name="_gjdgxs" w:colFirst="0" w:colLast="0"/>
            <w:bookmarkEnd w:id="0"/>
            <w:r>
              <w:t>A csoportokban A,</w:t>
            </w:r>
            <w:r w:rsidR="00F9016A">
              <w:t xml:space="preserve"> </w:t>
            </w:r>
            <w:r>
              <w:t>B,</w:t>
            </w:r>
            <w:r w:rsidR="00F9016A">
              <w:t xml:space="preserve"> </w:t>
            </w:r>
            <w:r>
              <w:t>C,</w:t>
            </w:r>
            <w:r w:rsidR="00F9016A">
              <w:t xml:space="preserve"> </w:t>
            </w:r>
            <w:r>
              <w:t>D jelet kapnak a diákok, s a csoportok is nevet vagy számot kapnak.</w:t>
            </w:r>
          </w:p>
        </w:tc>
        <w:tc>
          <w:tcPr>
            <w:tcW w:w="3402" w:type="dxa"/>
          </w:tcPr>
          <w:p w:rsidR="006242C6" w:rsidRDefault="00DF4FA1">
            <w:r>
              <w:t>A csoportok kialakításának koordinálása. A sorsolás irányítása/moderálása.</w:t>
            </w:r>
          </w:p>
          <w:p w:rsidR="006242C6" w:rsidRPr="007A559D" w:rsidRDefault="00DF4FA1">
            <w:r>
              <w:t xml:space="preserve">Az egyes feladatok kiosztása, értelmezése az egyes csoportokban. </w:t>
            </w:r>
            <w:r w:rsidRPr="009A0639">
              <w:t>Javasolt feladatok: a Mate_9_evf_11_tmcs_sanyag1_TJ.docx állományban</w:t>
            </w:r>
            <w:r w:rsidRPr="007A559D">
              <w:t>.</w:t>
            </w:r>
          </w:p>
          <w:p w:rsidR="006242C6" w:rsidRDefault="006242C6" w:rsidP="007A559D"/>
        </w:tc>
        <w:tc>
          <w:tcPr>
            <w:tcW w:w="1814" w:type="dxa"/>
          </w:tcPr>
          <w:p w:rsidR="006242C6" w:rsidRDefault="00DF4FA1">
            <w:pPr>
              <w:ind w:left="-78"/>
            </w:pPr>
            <w:bookmarkStart w:id="1" w:name="_30j0zll" w:colFirst="0" w:colLast="0"/>
            <w:bookmarkEnd w:id="1"/>
            <w:r>
              <w:t>Csoportmunka</w:t>
            </w:r>
          </w:p>
        </w:tc>
        <w:tc>
          <w:tcPr>
            <w:tcW w:w="1814" w:type="dxa"/>
          </w:tcPr>
          <w:p w:rsidR="006242C6" w:rsidRDefault="00DF4FA1">
            <w:r>
              <w:t>Interaktív tábla és projektor vagy érintőpanel.</w:t>
            </w:r>
          </w:p>
          <w:p w:rsidR="006242C6" w:rsidRPr="007A559D" w:rsidRDefault="00837171">
            <w:hyperlink r:id="rId7">
              <w:r w:rsidR="00DF4FA1" w:rsidRPr="009A0639">
                <w:rPr>
                  <w:u w:val="single"/>
                </w:rPr>
                <w:t xml:space="preserve">Random </w:t>
              </w:r>
              <w:proofErr w:type="spellStart"/>
              <w:r w:rsidR="00DF4FA1" w:rsidRPr="009A0639">
                <w:rPr>
                  <w:u w:val="single"/>
                </w:rPr>
                <w:t>Name</w:t>
              </w:r>
              <w:proofErr w:type="spellEnd"/>
              <w:r w:rsidR="00DF4FA1" w:rsidRPr="009A0639">
                <w:rPr>
                  <w:u w:val="single"/>
                </w:rPr>
                <w:t xml:space="preserve"> </w:t>
              </w:r>
              <w:proofErr w:type="spellStart"/>
              <w:r w:rsidR="00DF4FA1" w:rsidRPr="009A0639">
                <w:rPr>
                  <w:u w:val="single"/>
                </w:rPr>
                <w:t>Picker</w:t>
              </w:r>
              <w:proofErr w:type="spellEnd"/>
            </w:hyperlink>
          </w:p>
          <w:p w:rsidR="006242C6" w:rsidRDefault="006242C6">
            <w:pPr>
              <w:rPr>
                <w:strike/>
                <w:color w:val="0563C1"/>
              </w:rPr>
            </w:pPr>
          </w:p>
        </w:tc>
        <w:tc>
          <w:tcPr>
            <w:tcW w:w="1744" w:type="dxa"/>
          </w:tcPr>
          <w:p w:rsidR="006242C6" w:rsidRDefault="00DF4FA1" w:rsidP="009A0639">
            <w:pPr>
              <w:spacing w:after="160" w:line="259" w:lineRule="auto"/>
              <w:ind w:left="282"/>
              <w:contextualSpacing/>
            </w:pPr>
            <w:r>
              <w:t>A nevek sorsolásához az óra előtt a névsor rögzítése a szerencse-keréken (lehet a hetes feladata).</w:t>
            </w:r>
          </w:p>
        </w:tc>
      </w:tr>
      <w:tr w:rsidR="006242C6">
        <w:trPr>
          <w:trHeight w:val="920"/>
        </w:trPr>
        <w:tc>
          <w:tcPr>
            <w:tcW w:w="611" w:type="dxa"/>
          </w:tcPr>
          <w:p w:rsidR="006242C6" w:rsidRDefault="00DF4FA1">
            <w:r>
              <w:t>20</w:t>
            </w:r>
          </w:p>
        </w:tc>
        <w:tc>
          <w:tcPr>
            <w:tcW w:w="1814" w:type="dxa"/>
          </w:tcPr>
          <w:p w:rsidR="006242C6" w:rsidRDefault="00DF4FA1">
            <w:r>
              <w:t xml:space="preserve">Új tananyagrész. Halmazok egymáshoz való viszonya, részhalmaz fogalma, műveletek halmazokkal </w:t>
            </w:r>
            <w:r w:rsidRPr="009A0639">
              <w:t>(komplementer, unió, metszet, különbség, szimmetrikus különbség)</w:t>
            </w:r>
            <w:r w:rsidRPr="007A559D">
              <w:t xml:space="preserve">. </w:t>
            </w:r>
            <w:r>
              <w:t>A csoportok 1-1 feladatmegoldást bemutatnak.</w:t>
            </w:r>
          </w:p>
          <w:p w:rsidR="006242C6" w:rsidRDefault="00DF4FA1">
            <w:pPr>
              <w:rPr>
                <w:color w:val="0563C1"/>
              </w:rPr>
            </w:pPr>
            <w:r w:rsidRPr="009A0639">
              <w:t xml:space="preserve">Gömb-módszer </w:t>
            </w:r>
            <w:r w:rsidR="00F9016A" w:rsidRPr="009A0639">
              <w:t>–</w:t>
            </w:r>
            <w:r w:rsidRPr="009A0639">
              <w:t>fejleszti a kommunikációs- és kompromisszum-készséget, megmutatja a többféle módon történő megközelítés fontosságát.</w:t>
            </w:r>
          </w:p>
        </w:tc>
        <w:tc>
          <w:tcPr>
            <w:tcW w:w="3402" w:type="dxa"/>
          </w:tcPr>
          <w:p w:rsidR="006242C6" w:rsidRDefault="00DF4FA1">
            <w:r>
              <w:t xml:space="preserve">Csoportok oldják meg a kiadott feladatokat. A csoport megbeszéli a választ </w:t>
            </w:r>
            <w:r w:rsidR="00F9016A">
              <w:t>–</w:t>
            </w:r>
            <w:r>
              <w:t xml:space="preserve"> a diákok meggyőződnek arról, hogy mindegyikőjük helyesen fog válaszolni a kérdésre.</w:t>
            </w:r>
          </w:p>
          <w:p w:rsidR="006242C6" w:rsidRDefault="00DF4FA1">
            <w:r>
              <w:t>A diákok egymást ellenőrzik, hogy mindenki tudja-e a helyes választ.</w:t>
            </w:r>
          </w:p>
          <w:p w:rsidR="006242C6" w:rsidRDefault="00DF4FA1">
            <w:r>
              <w:t>Minden csoporttagnak el kell sajátítania az ismereteket.</w:t>
            </w:r>
          </w:p>
        </w:tc>
        <w:tc>
          <w:tcPr>
            <w:tcW w:w="3402" w:type="dxa"/>
          </w:tcPr>
          <w:p w:rsidR="006242C6" w:rsidRDefault="00DF4FA1">
            <w:r>
              <w:t>Kiadja a csoportoknak a feladatokat. Figyelemmel kíséri a csoportok munkáját, instruálja, irányítja a feladatmegoldást. Figyel a füzetbe írtakra is.</w:t>
            </w:r>
          </w:p>
          <w:p w:rsidR="006242C6" w:rsidRDefault="00DF4FA1">
            <w:r>
              <w:t xml:space="preserve">A megoldott feladatok bemutatását ellenőrzi. </w:t>
            </w:r>
          </w:p>
          <w:p w:rsidR="006242C6" w:rsidRPr="009A0639" w:rsidRDefault="00DF4FA1">
            <w:r w:rsidRPr="009A0639">
              <w:t>Gömb (Gondolkodás – Ötletcsere – Megbeszélés) módszer.</w:t>
            </w:r>
          </w:p>
          <w:p w:rsidR="006242C6" w:rsidRDefault="006242C6">
            <w:pPr>
              <w:rPr>
                <w:color w:val="0563C1"/>
              </w:rPr>
            </w:pPr>
          </w:p>
        </w:tc>
        <w:tc>
          <w:tcPr>
            <w:tcW w:w="1814" w:type="dxa"/>
          </w:tcPr>
          <w:p w:rsidR="006242C6" w:rsidRPr="009A0639" w:rsidRDefault="00DF4FA1">
            <w:pPr>
              <w:ind w:left="-78"/>
            </w:pPr>
            <w:r>
              <w:t xml:space="preserve">Csoportmunka </w:t>
            </w:r>
            <w:r w:rsidR="00F9016A">
              <w:rPr>
                <w:color w:val="0563C1"/>
              </w:rPr>
              <w:t>–</w:t>
            </w:r>
            <w:r>
              <w:rPr>
                <w:color w:val="0563C1"/>
              </w:rPr>
              <w:t xml:space="preserve"> </w:t>
            </w:r>
            <w:r w:rsidRPr="009A0639">
              <w:t>diákkvartett</w:t>
            </w:r>
            <w:r w:rsidR="00907B46">
              <w:t>.</w:t>
            </w:r>
          </w:p>
          <w:p w:rsidR="006242C6" w:rsidRDefault="00DF4FA1">
            <w:pPr>
              <w:ind w:left="-78"/>
            </w:pPr>
            <w:r w:rsidRPr="009A0639">
              <w:t xml:space="preserve">A tanulók először önállóan </w:t>
            </w:r>
            <w:proofErr w:type="spellStart"/>
            <w:r w:rsidRPr="009A0639">
              <w:t>végiggondolják</w:t>
            </w:r>
            <w:proofErr w:type="spellEnd"/>
            <w:r w:rsidRPr="009A0639">
              <w:t xml:space="preserve"> a feladatot, értelmezik, utána páronként megbeszélik. Figyelembe veszik egymás véleményét, kicserélik gondolataikat. A párok később elmondják elképzeléseiket a csoport vagy </w:t>
            </w:r>
            <w:r w:rsidR="00F9016A" w:rsidRPr="009A0639">
              <w:t xml:space="preserve">az </w:t>
            </w:r>
            <w:r w:rsidRPr="009A0639">
              <w:t>osztály többi tagjának.</w:t>
            </w:r>
          </w:p>
        </w:tc>
        <w:tc>
          <w:tcPr>
            <w:tcW w:w="1814" w:type="dxa"/>
          </w:tcPr>
          <w:p w:rsidR="006242C6" w:rsidRPr="007A559D" w:rsidRDefault="00DF4FA1">
            <w:r w:rsidRPr="007A559D">
              <w:t>1. feladatlap</w:t>
            </w:r>
          </w:p>
          <w:p w:rsidR="006242C6" w:rsidRPr="009A0639" w:rsidRDefault="00DF4FA1">
            <w:r w:rsidRPr="009A0639">
              <w:t>Megjegyzéseket lásd a feladatlapon.</w:t>
            </w:r>
          </w:p>
        </w:tc>
        <w:tc>
          <w:tcPr>
            <w:tcW w:w="1744" w:type="dxa"/>
          </w:tcPr>
          <w:p w:rsidR="006242C6" w:rsidRPr="009A0639" w:rsidRDefault="00DF4FA1" w:rsidP="009A0639">
            <w:pPr>
              <w:spacing w:after="160" w:line="259" w:lineRule="auto"/>
              <w:ind w:left="282"/>
              <w:contextualSpacing/>
            </w:pPr>
            <w:r w:rsidRPr="007A559D">
              <w:t xml:space="preserve">Útmutatásként hangsúlyozni </w:t>
            </w:r>
            <w:r w:rsidR="00F9016A" w:rsidRPr="007A559D">
              <w:t xml:space="preserve">kell </w:t>
            </w:r>
            <w:r w:rsidRPr="007A559D">
              <w:t>a tanulóknak, hogy ha elakadnak, azonnal szóljanak. Legyen fol</w:t>
            </w:r>
            <w:r w:rsidRPr="009A0639">
              <w:t>yamatos a megoldás minden csoportban.</w:t>
            </w:r>
          </w:p>
        </w:tc>
      </w:tr>
      <w:tr w:rsidR="006242C6">
        <w:trPr>
          <w:trHeight w:val="920"/>
        </w:trPr>
        <w:tc>
          <w:tcPr>
            <w:tcW w:w="611" w:type="dxa"/>
          </w:tcPr>
          <w:p w:rsidR="006242C6" w:rsidRDefault="00DF4FA1">
            <w:r>
              <w:lastRenderedPageBreak/>
              <w:t>5</w:t>
            </w:r>
          </w:p>
        </w:tc>
        <w:tc>
          <w:tcPr>
            <w:tcW w:w="1814" w:type="dxa"/>
          </w:tcPr>
          <w:p w:rsidR="006242C6" w:rsidRDefault="00DF4FA1">
            <w:r>
              <w:t>Az eddig megismertek rendszerezése, gyakorlása.</w:t>
            </w:r>
          </w:p>
        </w:tc>
        <w:tc>
          <w:tcPr>
            <w:tcW w:w="3402" w:type="dxa"/>
          </w:tcPr>
          <w:p w:rsidR="006242C6" w:rsidRDefault="00DF4FA1">
            <w:r>
              <w:t>A diákok</w:t>
            </w:r>
            <w:r w:rsidR="00F9016A">
              <w:t xml:space="preserve"> </w:t>
            </w:r>
            <w:r>
              <w:t>megoldják a kivetített feladatot.</w:t>
            </w:r>
          </w:p>
        </w:tc>
        <w:tc>
          <w:tcPr>
            <w:tcW w:w="3402" w:type="dxa"/>
          </w:tcPr>
          <w:p w:rsidR="006242C6" w:rsidRDefault="00DF4FA1">
            <w:r>
              <w:t xml:space="preserve">Elindítja a </w:t>
            </w:r>
            <w:proofErr w:type="spellStart"/>
            <w:r>
              <w:t>Learning</w:t>
            </w:r>
            <w:r w:rsidR="00F9016A">
              <w:t>a</w:t>
            </w:r>
            <w:r>
              <w:t>pps</w:t>
            </w:r>
            <w:proofErr w:type="spellEnd"/>
            <w:r>
              <w:t xml:space="preserve"> alkalmazást, amely</w:t>
            </w:r>
            <w:r w:rsidR="00F9016A">
              <w:t>b</w:t>
            </w:r>
            <w:r>
              <w:t xml:space="preserve">en párosítani kell halmazműveleteket </w:t>
            </w:r>
            <w:proofErr w:type="spellStart"/>
            <w:r>
              <w:t>Venn</w:t>
            </w:r>
            <w:proofErr w:type="spellEnd"/>
            <w:r>
              <w:t>-diagrammal. (Halmazok uniója, metszete, különbsége, komplementere, szimmetrikus differenciája</w:t>
            </w:r>
            <w:r w:rsidR="00F9016A">
              <w:t>.</w:t>
            </w:r>
            <w:r>
              <w:t>)</w:t>
            </w:r>
          </w:p>
        </w:tc>
        <w:tc>
          <w:tcPr>
            <w:tcW w:w="1814" w:type="dxa"/>
          </w:tcPr>
          <w:p w:rsidR="006242C6" w:rsidRDefault="00DF4FA1">
            <w:pPr>
              <w:ind w:left="-78"/>
              <w:rPr>
                <w:color w:val="0563C1"/>
              </w:rPr>
            </w:pPr>
            <w:r w:rsidRPr="009A0639">
              <w:t>Egyéni munka</w:t>
            </w:r>
          </w:p>
        </w:tc>
        <w:tc>
          <w:tcPr>
            <w:tcW w:w="1814" w:type="dxa"/>
          </w:tcPr>
          <w:p w:rsidR="006242C6" w:rsidRDefault="00DF4FA1">
            <w:proofErr w:type="spellStart"/>
            <w:r>
              <w:t>Learning</w:t>
            </w:r>
            <w:r w:rsidR="00F9016A">
              <w:t>a</w:t>
            </w:r>
            <w:r>
              <w:t>pps</w:t>
            </w:r>
            <w:proofErr w:type="spellEnd"/>
            <w:r>
              <w:t xml:space="preserve"> alkalmazás interaktív tábla, projektor és/vagy érintőpanel</w:t>
            </w:r>
            <w:r w:rsidR="00F9016A">
              <w:t>.</w:t>
            </w:r>
          </w:p>
        </w:tc>
        <w:tc>
          <w:tcPr>
            <w:tcW w:w="1744" w:type="dxa"/>
          </w:tcPr>
          <w:p w:rsidR="006242C6" w:rsidRDefault="00DF4FA1" w:rsidP="009A0639">
            <w:pPr>
              <w:spacing w:after="160" w:line="259" w:lineRule="auto"/>
              <w:ind w:left="282"/>
              <w:contextualSpacing/>
            </w:pPr>
            <w:r>
              <w:t>Az alkalmazást az óra megkezdése előtt töltsük be.</w:t>
            </w:r>
          </w:p>
          <w:p w:rsidR="006242C6" w:rsidRDefault="00DF4FA1" w:rsidP="009A0639">
            <w:pPr>
              <w:spacing w:after="160" w:line="259" w:lineRule="auto"/>
              <w:ind w:left="282"/>
              <w:contextualSpacing/>
            </w:pPr>
            <w:proofErr w:type="spellStart"/>
            <w:r>
              <w:t>Learning</w:t>
            </w:r>
            <w:r w:rsidR="00F9016A">
              <w:t>a</w:t>
            </w:r>
            <w:r>
              <w:t>pps</w:t>
            </w:r>
            <w:proofErr w:type="spellEnd"/>
            <w:r>
              <w:t xml:space="preserve">: </w:t>
            </w:r>
            <w:proofErr w:type="spellStart"/>
            <w:r>
              <w:rPr>
                <w:b/>
                <w:i/>
              </w:rPr>
              <w:t>Halmazmuvelet</w:t>
            </w:r>
            <w:proofErr w:type="spellEnd"/>
            <w:r>
              <w:t xml:space="preserve"> </w:t>
            </w:r>
          </w:p>
        </w:tc>
      </w:tr>
      <w:tr w:rsidR="006242C6">
        <w:trPr>
          <w:trHeight w:val="920"/>
        </w:trPr>
        <w:tc>
          <w:tcPr>
            <w:tcW w:w="611" w:type="dxa"/>
          </w:tcPr>
          <w:p w:rsidR="006242C6" w:rsidRDefault="00DF4FA1">
            <w:r>
              <w:t>5</w:t>
            </w:r>
          </w:p>
        </w:tc>
        <w:tc>
          <w:tcPr>
            <w:tcW w:w="1814" w:type="dxa"/>
          </w:tcPr>
          <w:p w:rsidR="006242C6" w:rsidRDefault="00DF4FA1" w:rsidP="007A559D">
            <w:r>
              <w:t xml:space="preserve">Az eddig megismertek gyakorlása. </w:t>
            </w:r>
          </w:p>
        </w:tc>
        <w:tc>
          <w:tcPr>
            <w:tcW w:w="3402" w:type="dxa"/>
          </w:tcPr>
          <w:p w:rsidR="006242C6" w:rsidRDefault="00DF4FA1">
            <w:r>
              <w:t>A diákok megoldják a kivetített feladatot.</w:t>
            </w:r>
          </w:p>
        </w:tc>
        <w:tc>
          <w:tcPr>
            <w:tcW w:w="3402" w:type="dxa"/>
          </w:tcPr>
          <w:p w:rsidR="006242C6" w:rsidRDefault="00DF4FA1">
            <w:r>
              <w:t xml:space="preserve">Elindítja a </w:t>
            </w:r>
            <w:proofErr w:type="spellStart"/>
            <w:r>
              <w:t>Learning</w:t>
            </w:r>
            <w:r w:rsidR="00F9016A">
              <w:t>a</w:t>
            </w:r>
            <w:r>
              <w:t>pps</w:t>
            </w:r>
            <w:proofErr w:type="spellEnd"/>
            <w:r>
              <w:t xml:space="preserve"> alkalmazást, amely</w:t>
            </w:r>
            <w:r w:rsidR="00F9016A">
              <w:t>b</w:t>
            </w:r>
            <w:r>
              <w:t>en a halmazok témakör fogalmaival „speciális” akasztófa játékot lehet játszani.</w:t>
            </w:r>
          </w:p>
          <w:p w:rsidR="006242C6" w:rsidRDefault="006242C6"/>
        </w:tc>
        <w:tc>
          <w:tcPr>
            <w:tcW w:w="1814" w:type="dxa"/>
          </w:tcPr>
          <w:p w:rsidR="006242C6" w:rsidRDefault="00DF4FA1">
            <w:pPr>
              <w:ind w:left="-78"/>
            </w:pPr>
            <w:r w:rsidRPr="009A0639">
              <w:t>Egyéni munka</w:t>
            </w:r>
          </w:p>
        </w:tc>
        <w:tc>
          <w:tcPr>
            <w:tcW w:w="1814" w:type="dxa"/>
          </w:tcPr>
          <w:p w:rsidR="006242C6" w:rsidRDefault="00907B46">
            <w:pPr>
              <w:rPr>
                <w:color w:val="0563C1"/>
              </w:rPr>
            </w:pPr>
            <w:proofErr w:type="spellStart"/>
            <w:r>
              <w:t>Learninga</w:t>
            </w:r>
            <w:r w:rsidR="00DF4FA1">
              <w:t>pps</w:t>
            </w:r>
            <w:proofErr w:type="spellEnd"/>
            <w:r w:rsidR="00DF4FA1">
              <w:t xml:space="preserve"> alkalmazás</w:t>
            </w:r>
            <w:r>
              <w:t>;</w:t>
            </w:r>
            <w:r w:rsidR="00F9016A">
              <w:t xml:space="preserve"> </w:t>
            </w:r>
          </w:p>
          <w:p w:rsidR="006242C6" w:rsidRDefault="00DF4FA1">
            <w:r>
              <w:t>interaktív tábla, projektor és/vagy érintőpanel</w:t>
            </w:r>
            <w:r w:rsidR="00F9016A">
              <w:t>.</w:t>
            </w:r>
          </w:p>
        </w:tc>
        <w:tc>
          <w:tcPr>
            <w:tcW w:w="1744" w:type="dxa"/>
          </w:tcPr>
          <w:p w:rsidR="006242C6" w:rsidRDefault="00DF4FA1" w:rsidP="009A0639">
            <w:pPr>
              <w:spacing w:after="160" w:line="259" w:lineRule="auto"/>
              <w:ind w:left="282"/>
              <w:contextualSpacing/>
            </w:pPr>
            <w:r>
              <w:t>Az alkalmazást az óra megkezdése előtt töltsük be. Ismertessük a szabályokat.</w:t>
            </w:r>
          </w:p>
        </w:tc>
      </w:tr>
      <w:tr w:rsidR="006242C6">
        <w:trPr>
          <w:trHeight w:val="920"/>
        </w:trPr>
        <w:tc>
          <w:tcPr>
            <w:tcW w:w="611" w:type="dxa"/>
          </w:tcPr>
          <w:p w:rsidR="006242C6" w:rsidRDefault="00DF4FA1">
            <w:r>
              <w:t>5</w:t>
            </w:r>
          </w:p>
        </w:tc>
        <w:tc>
          <w:tcPr>
            <w:tcW w:w="1814" w:type="dxa"/>
          </w:tcPr>
          <w:p w:rsidR="00837171" w:rsidRDefault="00DF4FA1">
            <w:r>
              <w:t>Az óra, az elvégzett munka értékelése. Önértékelés fejlesztése.</w:t>
            </w:r>
          </w:p>
          <w:p w:rsidR="00837171" w:rsidRDefault="00837171" w:rsidP="00837171"/>
          <w:p w:rsidR="006242C6" w:rsidRPr="00837171" w:rsidRDefault="006242C6" w:rsidP="00837171"/>
        </w:tc>
        <w:tc>
          <w:tcPr>
            <w:tcW w:w="3402" w:type="dxa"/>
          </w:tcPr>
          <w:p w:rsidR="006242C6" w:rsidRDefault="00DF4FA1">
            <w:r>
              <w:t>Egyéni és csoportos munka értékelése. A közös tevékenységgel kapcsolatos érzések megfogalmazása.</w:t>
            </w:r>
          </w:p>
        </w:tc>
        <w:tc>
          <w:tcPr>
            <w:tcW w:w="3402" w:type="dxa"/>
          </w:tcPr>
          <w:p w:rsidR="006242C6" w:rsidRDefault="00DF4FA1">
            <w:r>
              <w:t xml:space="preserve">Az értékelés moderálása. A tanulói teljesítmények értékelése. </w:t>
            </w:r>
          </w:p>
        </w:tc>
        <w:tc>
          <w:tcPr>
            <w:tcW w:w="1814" w:type="dxa"/>
          </w:tcPr>
          <w:p w:rsidR="006242C6" w:rsidRDefault="00DF4FA1">
            <w:pPr>
              <w:ind w:left="-78"/>
            </w:pPr>
            <w:r>
              <w:t>Egyéni munka</w:t>
            </w:r>
          </w:p>
        </w:tc>
        <w:tc>
          <w:tcPr>
            <w:tcW w:w="1814" w:type="dxa"/>
          </w:tcPr>
          <w:p w:rsidR="006242C6" w:rsidRDefault="00DF4FA1" w:rsidP="007A559D">
            <w:r>
              <w:t xml:space="preserve">Amennyiben lehetőség van, párhuzamos értékelés a megosztott </w:t>
            </w:r>
            <w:proofErr w:type="spellStart"/>
            <w:r>
              <w:t>Sorbarendezés</w:t>
            </w:r>
            <w:proofErr w:type="spellEnd"/>
            <w:r>
              <w:t xml:space="preserve"> </w:t>
            </w:r>
            <w:r w:rsidR="007A559D">
              <w:t xml:space="preserve">– </w:t>
            </w:r>
            <w:r>
              <w:t>Önértékelés csapatokban. (Mate_9_evf_11_tmcs_sanyag2_TJ.xlsx)</w:t>
            </w:r>
          </w:p>
        </w:tc>
        <w:tc>
          <w:tcPr>
            <w:tcW w:w="1744" w:type="dxa"/>
          </w:tcPr>
          <w:p w:rsidR="006242C6" w:rsidRDefault="00DF4FA1">
            <w:pPr>
              <w:ind w:left="-78"/>
            </w:pPr>
            <w:r>
              <w:t xml:space="preserve">Támogató, bizalmi környezet, a tervezett idő biztosítása. Minden vélemény elhangozhasson. </w:t>
            </w:r>
          </w:p>
        </w:tc>
      </w:tr>
    </w:tbl>
    <w:p w:rsidR="006242C6" w:rsidRDefault="006242C6">
      <w:bookmarkStart w:id="2" w:name="_GoBack"/>
      <w:bookmarkEnd w:id="2"/>
    </w:p>
    <w:sectPr w:rsidR="006242C6" w:rsidSect="00837171">
      <w:headerReference w:type="default" r:id="rId8"/>
      <w:footerReference w:type="default" r:id="rId9"/>
      <w:pgSz w:w="16838" w:h="11906"/>
      <w:pgMar w:top="1417" w:right="1417" w:bottom="993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0E" w:rsidRDefault="0093350E">
      <w:pPr>
        <w:spacing w:after="0" w:line="240" w:lineRule="auto"/>
      </w:pPr>
      <w:r>
        <w:separator/>
      </w:r>
    </w:p>
  </w:endnote>
  <w:endnote w:type="continuationSeparator" w:id="0">
    <w:p w:rsidR="0093350E" w:rsidRDefault="0093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C6" w:rsidRDefault="00DF4FA1">
    <w:pPr>
      <w:tabs>
        <w:tab w:val="left" w:pos="3900"/>
      </w:tabs>
      <w:spacing w:after="0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0E" w:rsidRDefault="0093350E">
      <w:pPr>
        <w:spacing w:after="0" w:line="240" w:lineRule="auto"/>
      </w:pPr>
      <w:r>
        <w:separator/>
      </w:r>
    </w:p>
  </w:footnote>
  <w:footnote w:type="continuationSeparator" w:id="0">
    <w:p w:rsidR="0093350E" w:rsidRDefault="0093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C6" w:rsidRDefault="00837171" w:rsidP="00837171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drawing>
        <wp:inline distT="0" distB="0" distL="0" distR="0" wp14:anchorId="3BBDEEF9" wp14:editId="0085A3BF">
          <wp:extent cx="6638925" cy="993775"/>
          <wp:effectExtent l="0" t="0" r="9525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96F51"/>
    <w:multiLevelType w:val="multilevel"/>
    <w:tmpl w:val="80B6453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42C6"/>
    <w:rsid w:val="006242C6"/>
    <w:rsid w:val="007A559D"/>
    <w:rsid w:val="00837171"/>
    <w:rsid w:val="008E1C87"/>
    <w:rsid w:val="00907B46"/>
    <w:rsid w:val="0093350E"/>
    <w:rsid w:val="009A0639"/>
    <w:rsid w:val="00DF4FA1"/>
    <w:rsid w:val="00F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78F56"/>
  <w15:docId w15:val="{E24CDCD1-1548-423D-B2F5-6AE17F98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59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3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171"/>
  </w:style>
  <w:style w:type="paragraph" w:styleId="llb">
    <w:name w:val="footer"/>
    <w:basedOn w:val="Norml"/>
    <w:link w:val="llbChar"/>
    <w:uiPriority w:val="99"/>
    <w:unhideWhenUsed/>
    <w:rsid w:val="0083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lasstools.net/random-name-pick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Gyimesné Szekeres Ágnes</dc:creator>
  <cp:lastModifiedBy>Víg István</cp:lastModifiedBy>
  <cp:revision>6</cp:revision>
  <dcterms:created xsi:type="dcterms:W3CDTF">2018-08-02T15:11:00Z</dcterms:created>
  <dcterms:modified xsi:type="dcterms:W3CDTF">2018-08-27T09:19:00Z</dcterms:modified>
</cp:coreProperties>
</file>